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69" w:rsidRDefault="00A12C36" w:rsidP="00566E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股票</w:t>
      </w:r>
      <w:r w:rsidR="00B80669">
        <w:rPr>
          <w:rFonts w:ascii="宋体" w:hAnsi="宋体" w:hint="eastAsia"/>
          <w:bCs/>
          <w:iCs/>
          <w:color w:val="000000"/>
          <w:sz w:val="24"/>
        </w:rPr>
        <w:t>代码：</w:t>
      </w:r>
      <w:r w:rsidR="0000297D">
        <w:rPr>
          <w:rFonts w:ascii="宋体" w:hAnsi="宋体" w:hint="eastAsia"/>
          <w:bCs/>
          <w:iCs/>
          <w:color w:val="000000"/>
          <w:sz w:val="24"/>
        </w:rPr>
        <w:t>000564</w:t>
      </w:r>
      <w:r w:rsidR="00B80669">
        <w:rPr>
          <w:rFonts w:ascii="宋体" w:hAnsi="宋体" w:hint="eastAsia"/>
          <w:bCs/>
          <w:iCs/>
          <w:color w:val="000000"/>
          <w:sz w:val="24"/>
        </w:rPr>
        <w:t xml:space="preserve">                      </w:t>
      </w:r>
      <w:r w:rsidR="00665564">
        <w:rPr>
          <w:rFonts w:ascii="宋体" w:hAnsi="宋体"/>
          <w:bCs/>
          <w:iCs/>
          <w:color w:val="000000"/>
          <w:sz w:val="24"/>
        </w:rPr>
        <w:t xml:space="preserve">              </w:t>
      </w:r>
      <w:r w:rsidR="00B80669">
        <w:rPr>
          <w:rFonts w:ascii="宋体" w:hAnsi="宋体" w:hint="eastAsia"/>
          <w:bCs/>
          <w:iCs/>
          <w:color w:val="000000"/>
          <w:sz w:val="24"/>
        </w:rPr>
        <w:t xml:space="preserve">  </w:t>
      </w:r>
      <w:r>
        <w:rPr>
          <w:rFonts w:ascii="宋体" w:hAnsi="宋体" w:hint="eastAsia"/>
          <w:bCs/>
          <w:iCs/>
          <w:color w:val="000000"/>
          <w:sz w:val="24"/>
        </w:rPr>
        <w:t>股票</w:t>
      </w:r>
      <w:r w:rsidR="00B80669">
        <w:rPr>
          <w:rFonts w:ascii="宋体" w:hAnsi="宋体" w:hint="eastAsia"/>
          <w:bCs/>
          <w:iCs/>
          <w:color w:val="000000"/>
          <w:sz w:val="24"/>
        </w:rPr>
        <w:t>简称：</w:t>
      </w:r>
      <w:r w:rsidR="00F565A1">
        <w:rPr>
          <w:rFonts w:ascii="宋体" w:hAnsi="宋体" w:hint="eastAsia"/>
          <w:bCs/>
          <w:iCs/>
          <w:color w:val="000000"/>
          <w:sz w:val="24"/>
        </w:rPr>
        <w:t>供销大集</w:t>
      </w:r>
    </w:p>
    <w:p w:rsidR="00B80669" w:rsidRDefault="00F565A1" w:rsidP="00566E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供销大集</w:t>
      </w:r>
      <w:r w:rsidR="0000297D">
        <w:rPr>
          <w:rFonts w:ascii="宋体" w:hAnsi="宋体" w:hint="eastAsia"/>
          <w:b/>
          <w:bCs/>
          <w:iCs/>
          <w:color w:val="000000"/>
          <w:sz w:val="32"/>
          <w:szCs w:val="32"/>
        </w:rPr>
        <w:t>集团股份有限公司</w:t>
      </w:r>
      <w:r w:rsidR="00B80669">
        <w:rPr>
          <w:rFonts w:ascii="宋体" w:hAnsi="宋体" w:hint="eastAsia"/>
          <w:b/>
          <w:bCs/>
          <w:iCs/>
          <w:color w:val="000000"/>
          <w:sz w:val="32"/>
          <w:szCs w:val="32"/>
        </w:rPr>
        <w:t>投资者关系活动记录</w:t>
      </w:r>
    </w:p>
    <w:p w:rsidR="00B80669" w:rsidRDefault="00B80669" w:rsidP="00B80669">
      <w:pPr>
        <w:spacing w:line="400" w:lineRule="exact"/>
        <w:rPr>
          <w:rFonts w:ascii="宋体" w:hAnsi="宋体"/>
          <w:bCs/>
          <w:iCs/>
          <w:color w:val="000000"/>
          <w:sz w:val="24"/>
        </w:rPr>
      </w:pPr>
      <w:r>
        <w:rPr>
          <w:rFonts w:ascii="宋体" w:hAnsi="宋体" w:hint="eastAsia"/>
          <w:bCs/>
          <w:iCs/>
          <w:color w:val="000000"/>
          <w:sz w:val="24"/>
        </w:rPr>
        <w:t xml:space="preserve">                                                         编号：</w:t>
      </w:r>
      <w:r w:rsidR="00556F05">
        <w:rPr>
          <w:rFonts w:ascii="宋体" w:hAnsi="宋体" w:hint="eastAsia"/>
          <w:bCs/>
          <w:iCs/>
          <w:color w:val="000000"/>
          <w:sz w:val="24"/>
        </w:rPr>
        <w:t>201</w:t>
      </w:r>
      <w:r w:rsidR="00AF246C">
        <w:rPr>
          <w:rFonts w:ascii="宋体" w:hAnsi="宋体"/>
          <w:bCs/>
          <w:iCs/>
          <w:color w:val="000000"/>
          <w:sz w:val="24"/>
        </w:rPr>
        <w:t>8</w:t>
      </w:r>
      <w:r w:rsidR="00556F05">
        <w:rPr>
          <w:rFonts w:ascii="宋体" w:hAnsi="宋体" w:hint="eastAsia"/>
          <w:bCs/>
          <w:iCs/>
          <w:color w:val="000000"/>
          <w:sz w:val="24"/>
        </w:rPr>
        <w:t>-</w:t>
      </w:r>
      <w:r w:rsidR="006F1D42">
        <w:rPr>
          <w:rFonts w:ascii="宋体" w:hAnsi="宋体" w:hint="eastAsia"/>
          <w:bCs/>
          <w:iCs/>
          <w:color w:val="000000"/>
          <w:sz w:val="24"/>
        </w:rPr>
        <w:t>00</w:t>
      </w:r>
      <w:r w:rsidR="00CD05F0">
        <w:rPr>
          <w:rFonts w:ascii="宋体" w:hAnsi="宋体"/>
          <w:bCs/>
          <w:iCs/>
          <w:color w:val="000000"/>
          <w:sz w:val="24"/>
        </w:rPr>
        <w:t>2</w:t>
      </w:r>
    </w:p>
    <w:tbl>
      <w:tblPr>
        <w:tblStyle w:val="a5"/>
        <w:tblW w:w="0" w:type="auto"/>
        <w:jc w:val="center"/>
        <w:tblLook w:val="01E0" w:firstRow="1" w:lastRow="1" w:firstColumn="1" w:lastColumn="1" w:noHBand="0" w:noVBand="0"/>
      </w:tblPr>
      <w:tblGrid>
        <w:gridCol w:w="2417"/>
        <w:gridCol w:w="6586"/>
      </w:tblGrid>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A65084">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投资者关系活动类别</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02286" w:rsidP="005C1B17">
            <w:pPr>
              <w:spacing w:line="480" w:lineRule="atLeast"/>
              <w:rPr>
                <w:rFonts w:ascii="宋体" w:hAnsi="宋体"/>
                <w:bCs/>
                <w:iCs/>
                <w:color w:val="000000"/>
                <w:sz w:val="24"/>
                <w:szCs w:val="24"/>
              </w:rPr>
            </w:pPr>
            <w:r>
              <w:rPr>
                <w:rFonts w:ascii="宋体" w:hAnsi="宋体" w:hint="eastAsia"/>
                <w:bCs/>
                <w:iCs/>
                <w:color w:val="000000"/>
                <w:sz w:val="24"/>
              </w:rPr>
              <w:t>√</w:t>
            </w:r>
            <w:r w:rsidR="00B80669" w:rsidRPr="00347040">
              <w:rPr>
                <w:rFonts w:ascii="宋体" w:hAnsi="宋体" w:hint="eastAsia"/>
                <w:sz w:val="24"/>
                <w:szCs w:val="24"/>
              </w:rPr>
              <w:t xml:space="preserve">特定对象调研        </w:t>
            </w:r>
            <w:r w:rsidR="00B80669" w:rsidRPr="00347040">
              <w:rPr>
                <w:rFonts w:ascii="宋体" w:hAnsi="宋体" w:hint="eastAsia"/>
                <w:bCs/>
                <w:iCs/>
                <w:color w:val="000000"/>
                <w:sz w:val="24"/>
                <w:szCs w:val="24"/>
              </w:rPr>
              <w:t>□</w:t>
            </w:r>
            <w:r w:rsidR="00B80669" w:rsidRPr="00347040">
              <w:rPr>
                <w:rFonts w:ascii="宋体" w:hAnsi="宋体" w:hint="eastAsia"/>
                <w:sz w:val="24"/>
                <w:szCs w:val="24"/>
              </w:rPr>
              <w:t>分析师会议</w:t>
            </w:r>
          </w:p>
          <w:p w:rsidR="00B80669" w:rsidRPr="00347040" w:rsidRDefault="00B80669" w:rsidP="005C1B17">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媒体采访            </w:t>
            </w:r>
            <w:r w:rsidR="00502286" w:rsidRPr="00347040">
              <w:rPr>
                <w:rFonts w:ascii="宋体" w:hAnsi="宋体" w:hint="eastAsia"/>
                <w:bCs/>
                <w:iCs/>
                <w:color w:val="000000"/>
                <w:sz w:val="24"/>
                <w:szCs w:val="24"/>
              </w:rPr>
              <w:t>□</w:t>
            </w:r>
            <w:r w:rsidRPr="00347040">
              <w:rPr>
                <w:rFonts w:ascii="宋体" w:hAnsi="宋体" w:hint="eastAsia"/>
                <w:sz w:val="24"/>
                <w:szCs w:val="24"/>
              </w:rPr>
              <w:t>业绩说明会</w:t>
            </w:r>
          </w:p>
          <w:p w:rsidR="00B80669" w:rsidRPr="00347040" w:rsidRDefault="00B80669" w:rsidP="005C1B17">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新闻发布会          </w:t>
            </w:r>
            <w:r w:rsidR="00566E00" w:rsidRPr="00347040">
              <w:rPr>
                <w:rFonts w:ascii="宋体" w:hAnsi="宋体" w:hint="eastAsia"/>
                <w:bCs/>
                <w:iCs/>
                <w:color w:val="000000"/>
                <w:sz w:val="24"/>
                <w:szCs w:val="24"/>
              </w:rPr>
              <w:t>□</w:t>
            </w:r>
            <w:r w:rsidRPr="00347040">
              <w:rPr>
                <w:rFonts w:ascii="宋体" w:hAnsi="宋体" w:hint="eastAsia"/>
                <w:sz w:val="24"/>
                <w:szCs w:val="24"/>
              </w:rPr>
              <w:t>路演活动</w:t>
            </w:r>
          </w:p>
          <w:p w:rsidR="00B80669" w:rsidRPr="00347040" w:rsidRDefault="00B80669" w:rsidP="00EB1559">
            <w:pPr>
              <w:tabs>
                <w:tab w:val="left" w:pos="3045"/>
                <w:tab w:val="center" w:pos="3199"/>
              </w:tabs>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00EB1559">
              <w:rPr>
                <w:rFonts w:ascii="宋体" w:hAnsi="宋体" w:hint="eastAsia"/>
                <w:sz w:val="24"/>
                <w:szCs w:val="24"/>
              </w:rPr>
              <w:t>现场参观</w:t>
            </w:r>
          </w:p>
          <w:p w:rsidR="00A65084" w:rsidRPr="00866893" w:rsidRDefault="00B80669" w:rsidP="005C1B17">
            <w:pPr>
              <w:tabs>
                <w:tab w:val="center" w:pos="3199"/>
              </w:tabs>
              <w:spacing w:line="480" w:lineRule="atLeast"/>
              <w:rPr>
                <w:rFonts w:ascii="宋体" w:hAnsi="宋体"/>
                <w:sz w:val="24"/>
                <w:szCs w:val="24"/>
                <w:u w:val="single"/>
              </w:rPr>
            </w:pPr>
            <w:r w:rsidRPr="00347040">
              <w:rPr>
                <w:rFonts w:ascii="宋体" w:hAnsi="宋体" w:hint="eastAsia"/>
                <w:bCs/>
                <w:iCs/>
                <w:color w:val="000000"/>
                <w:sz w:val="24"/>
                <w:szCs w:val="24"/>
              </w:rPr>
              <w:t>□</w:t>
            </w:r>
            <w:r w:rsidRPr="00347040">
              <w:rPr>
                <w:rFonts w:ascii="宋体" w:hAnsi="宋体" w:hint="eastAsia"/>
                <w:sz w:val="24"/>
                <w:szCs w:val="24"/>
              </w:rPr>
              <w:t>其他（</w:t>
            </w:r>
            <w:proofErr w:type="gramStart"/>
            <w:r w:rsidRPr="00347040">
              <w:rPr>
                <w:rFonts w:ascii="宋体" w:hAnsi="宋体" w:hint="eastAsia"/>
                <w:sz w:val="24"/>
                <w:szCs w:val="24"/>
                <w:u w:val="single"/>
              </w:rPr>
              <w:t>请文字</w:t>
            </w:r>
            <w:proofErr w:type="gramEnd"/>
            <w:r w:rsidRPr="00347040">
              <w:rPr>
                <w:rFonts w:ascii="宋体" w:hAnsi="宋体" w:hint="eastAsia"/>
                <w:sz w:val="24"/>
                <w:szCs w:val="24"/>
                <w:u w:val="single"/>
              </w:rPr>
              <w:t>说明其他活动内容）</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参与单位名称及人员姓名</w:t>
            </w:r>
          </w:p>
        </w:tc>
        <w:tc>
          <w:tcPr>
            <w:tcW w:w="6814" w:type="dxa"/>
            <w:tcBorders>
              <w:top w:val="single" w:sz="4" w:space="0" w:color="auto"/>
              <w:left w:val="single" w:sz="4" w:space="0" w:color="auto"/>
              <w:bottom w:val="single" w:sz="4" w:space="0" w:color="auto"/>
              <w:right w:val="single" w:sz="4" w:space="0" w:color="auto"/>
            </w:tcBorders>
            <w:vAlign w:val="center"/>
          </w:tcPr>
          <w:p w:rsidR="00512BF5" w:rsidRDefault="00280B21" w:rsidP="00386060">
            <w:pPr>
              <w:rPr>
                <w:rFonts w:ascii="Arial" w:hAnsi="Arial" w:cs="Arial"/>
                <w:color w:val="333333"/>
                <w:sz w:val="24"/>
                <w:szCs w:val="24"/>
              </w:rPr>
            </w:pPr>
            <w:r>
              <w:rPr>
                <w:rFonts w:ascii="Arial" w:hAnsi="Arial" w:cs="Arial" w:hint="eastAsia"/>
                <w:color w:val="333333"/>
                <w:sz w:val="24"/>
                <w:szCs w:val="24"/>
              </w:rPr>
              <w:t>天风证券：刘章明、周依</w:t>
            </w:r>
          </w:p>
          <w:p w:rsidR="00280B21" w:rsidRPr="00512BF5" w:rsidRDefault="00280B21" w:rsidP="00386060">
            <w:pPr>
              <w:rPr>
                <w:rFonts w:ascii="Arial" w:hAnsi="Arial" w:cs="Arial"/>
                <w:color w:val="333333"/>
                <w:sz w:val="24"/>
                <w:szCs w:val="24"/>
              </w:rPr>
            </w:pPr>
            <w:r>
              <w:rPr>
                <w:rFonts w:ascii="Arial" w:hAnsi="Arial" w:cs="Arial" w:hint="eastAsia"/>
                <w:color w:val="333333"/>
                <w:sz w:val="24"/>
                <w:szCs w:val="24"/>
              </w:rPr>
              <w:t>诺安基金：</w:t>
            </w:r>
            <w:proofErr w:type="gramStart"/>
            <w:r>
              <w:rPr>
                <w:rFonts w:ascii="Arial" w:hAnsi="Arial" w:cs="Arial" w:hint="eastAsia"/>
                <w:color w:val="333333"/>
                <w:sz w:val="24"/>
                <w:szCs w:val="24"/>
              </w:rPr>
              <w:t>王晴</w:t>
            </w:r>
            <w:proofErr w:type="gramEnd"/>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时间</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20229F" w:rsidRDefault="00665564" w:rsidP="00171C69">
            <w:pPr>
              <w:rPr>
                <w:rFonts w:ascii="Arial" w:hAnsi="Arial" w:cs="Arial"/>
                <w:color w:val="333333"/>
                <w:sz w:val="24"/>
                <w:szCs w:val="24"/>
              </w:rPr>
            </w:pPr>
            <w:r w:rsidRPr="0020229F">
              <w:rPr>
                <w:rFonts w:ascii="Arial" w:hAnsi="Arial" w:cs="Arial"/>
                <w:color w:val="333333"/>
                <w:sz w:val="24"/>
                <w:szCs w:val="24"/>
              </w:rPr>
              <w:t>201</w:t>
            </w:r>
            <w:r w:rsidR="0098245A">
              <w:rPr>
                <w:rFonts w:ascii="Arial" w:hAnsi="Arial" w:cs="Arial"/>
                <w:color w:val="333333"/>
                <w:sz w:val="24"/>
                <w:szCs w:val="24"/>
              </w:rPr>
              <w:t>8</w:t>
            </w:r>
            <w:r w:rsidRPr="0020229F">
              <w:rPr>
                <w:rFonts w:ascii="Arial" w:hAnsi="Arial" w:cs="Arial"/>
                <w:color w:val="333333"/>
                <w:sz w:val="24"/>
                <w:szCs w:val="24"/>
              </w:rPr>
              <w:t>年</w:t>
            </w:r>
            <w:r w:rsidR="00171C69">
              <w:rPr>
                <w:rFonts w:ascii="Arial" w:hAnsi="Arial" w:cs="Arial"/>
                <w:color w:val="333333"/>
                <w:sz w:val="24"/>
                <w:szCs w:val="24"/>
              </w:rPr>
              <w:t>6</w:t>
            </w:r>
            <w:r w:rsidRPr="0020229F">
              <w:rPr>
                <w:rFonts w:ascii="Arial" w:hAnsi="Arial" w:cs="Arial" w:hint="eastAsia"/>
                <w:color w:val="333333"/>
                <w:sz w:val="24"/>
                <w:szCs w:val="24"/>
              </w:rPr>
              <w:t>月</w:t>
            </w:r>
            <w:r w:rsidR="00171C69">
              <w:rPr>
                <w:rFonts w:ascii="Arial" w:hAnsi="Arial" w:cs="Arial"/>
                <w:color w:val="333333"/>
                <w:sz w:val="24"/>
                <w:szCs w:val="24"/>
              </w:rPr>
              <w:t>4</w:t>
            </w:r>
            <w:r w:rsidR="00C97CCD" w:rsidRPr="0020229F">
              <w:rPr>
                <w:rFonts w:ascii="Arial" w:hAnsi="Arial" w:cs="Arial" w:hint="eastAsia"/>
                <w:color w:val="333333"/>
                <w:sz w:val="24"/>
                <w:szCs w:val="24"/>
              </w:rPr>
              <w:t>日</w:t>
            </w:r>
            <w:r w:rsidR="00AD2971">
              <w:rPr>
                <w:rFonts w:ascii="Arial" w:hAnsi="Arial" w:cs="Arial" w:hint="eastAsia"/>
                <w:color w:val="333333"/>
                <w:sz w:val="24"/>
                <w:szCs w:val="24"/>
              </w:rPr>
              <w:t>下午</w:t>
            </w:r>
          </w:p>
        </w:tc>
      </w:tr>
      <w:tr w:rsidR="00B80669" w:rsidRPr="00347040" w:rsidTr="00D07625">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地点</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347040" w:rsidRDefault="00171C69" w:rsidP="00171C69">
            <w:pPr>
              <w:rPr>
                <w:rFonts w:ascii="宋体" w:hAnsi="宋体"/>
                <w:bCs/>
                <w:iCs/>
                <w:color w:val="000000"/>
                <w:sz w:val="24"/>
                <w:szCs w:val="24"/>
              </w:rPr>
            </w:pPr>
            <w:r>
              <w:rPr>
                <w:rFonts w:ascii="Arial" w:hAnsi="Arial" w:cs="Arial" w:hint="eastAsia"/>
                <w:color w:val="333333"/>
                <w:sz w:val="24"/>
                <w:szCs w:val="24"/>
              </w:rPr>
              <w:t>西安市新城</w:t>
            </w:r>
            <w:r w:rsidR="00721A5C" w:rsidRPr="00721A5C">
              <w:rPr>
                <w:rFonts w:ascii="Arial" w:hAnsi="Arial" w:cs="Arial" w:hint="eastAsia"/>
                <w:color w:val="333333"/>
                <w:sz w:val="24"/>
                <w:szCs w:val="24"/>
              </w:rPr>
              <w:t>区</w:t>
            </w:r>
            <w:r>
              <w:rPr>
                <w:rFonts w:ascii="Arial" w:hAnsi="Arial" w:cs="Arial" w:hint="eastAsia"/>
                <w:color w:val="333333"/>
                <w:sz w:val="24"/>
                <w:szCs w:val="24"/>
              </w:rPr>
              <w:t>东新街</w:t>
            </w:r>
            <w:r>
              <w:rPr>
                <w:rFonts w:ascii="Arial" w:hAnsi="Arial" w:cs="Arial" w:hint="eastAsia"/>
                <w:color w:val="333333"/>
                <w:sz w:val="24"/>
                <w:szCs w:val="24"/>
              </w:rPr>
              <w:t>2</w:t>
            </w:r>
            <w:r w:rsidR="0098245A">
              <w:rPr>
                <w:rFonts w:ascii="Arial" w:hAnsi="Arial" w:cs="Arial" w:hint="eastAsia"/>
                <w:color w:val="333333"/>
                <w:sz w:val="24"/>
                <w:szCs w:val="24"/>
              </w:rPr>
              <w:t>5</w:t>
            </w:r>
            <w:r>
              <w:rPr>
                <w:rFonts w:ascii="Arial" w:hAnsi="Arial" w:cs="Arial"/>
                <w:color w:val="333333"/>
                <w:sz w:val="24"/>
                <w:szCs w:val="24"/>
              </w:rPr>
              <w:t>8</w:t>
            </w:r>
            <w:r w:rsidR="0098245A">
              <w:rPr>
                <w:rFonts w:ascii="Arial" w:hAnsi="Arial" w:cs="Arial" w:hint="eastAsia"/>
                <w:color w:val="333333"/>
                <w:sz w:val="24"/>
                <w:szCs w:val="24"/>
              </w:rPr>
              <w:t>号</w:t>
            </w:r>
            <w:r>
              <w:rPr>
                <w:rFonts w:ascii="Arial" w:hAnsi="Arial" w:cs="Arial" w:hint="eastAsia"/>
                <w:color w:val="333333"/>
                <w:sz w:val="24"/>
                <w:szCs w:val="24"/>
              </w:rPr>
              <w:t>皇城大厦</w:t>
            </w:r>
            <w:r>
              <w:rPr>
                <w:rFonts w:ascii="Arial" w:hAnsi="Arial" w:cs="Arial"/>
                <w:color w:val="333333"/>
                <w:sz w:val="24"/>
                <w:szCs w:val="24"/>
              </w:rPr>
              <w:t>5</w:t>
            </w:r>
            <w:r w:rsidR="00721A5C" w:rsidRPr="00721A5C">
              <w:rPr>
                <w:rFonts w:ascii="Arial" w:hAnsi="Arial" w:cs="Arial" w:hint="eastAsia"/>
                <w:color w:val="333333"/>
                <w:sz w:val="24"/>
                <w:szCs w:val="24"/>
              </w:rPr>
              <w:t>层</w:t>
            </w:r>
            <w:r w:rsidR="00721A5C">
              <w:rPr>
                <w:rFonts w:ascii="Arial" w:hAnsi="Arial" w:cs="Arial" w:hint="eastAsia"/>
                <w:color w:val="333333"/>
                <w:sz w:val="24"/>
                <w:szCs w:val="24"/>
              </w:rPr>
              <w:t>会议室</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公司接待人员姓名</w:t>
            </w:r>
          </w:p>
        </w:tc>
        <w:tc>
          <w:tcPr>
            <w:tcW w:w="6814" w:type="dxa"/>
            <w:tcBorders>
              <w:top w:val="single" w:sz="4" w:space="0" w:color="auto"/>
              <w:left w:val="single" w:sz="4" w:space="0" w:color="auto"/>
              <w:bottom w:val="single" w:sz="4" w:space="0" w:color="auto"/>
              <w:right w:val="single" w:sz="4" w:space="0" w:color="auto"/>
            </w:tcBorders>
          </w:tcPr>
          <w:p w:rsidR="00171C69" w:rsidRDefault="00171C69" w:rsidP="00CC4011">
            <w:pPr>
              <w:rPr>
                <w:rFonts w:ascii="Arial" w:hAnsi="Arial" w:cs="Arial"/>
                <w:color w:val="333333"/>
                <w:sz w:val="24"/>
                <w:szCs w:val="24"/>
              </w:rPr>
            </w:pPr>
            <w:r>
              <w:rPr>
                <w:rFonts w:ascii="Arial" w:hAnsi="Arial" w:cs="Arial" w:hint="eastAsia"/>
                <w:color w:val="333333"/>
                <w:sz w:val="24"/>
                <w:szCs w:val="24"/>
              </w:rPr>
              <w:t>总裁（首席执行官）</w:t>
            </w:r>
            <w:r>
              <w:rPr>
                <w:rFonts w:ascii="Arial" w:hAnsi="Arial" w:cs="Arial" w:hint="eastAsia"/>
                <w:color w:val="333333"/>
                <w:sz w:val="24"/>
                <w:szCs w:val="24"/>
              </w:rPr>
              <w:t xml:space="preserve">  </w:t>
            </w:r>
            <w:r>
              <w:rPr>
                <w:rFonts w:ascii="Arial" w:hAnsi="Arial" w:cs="Arial" w:hint="eastAsia"/>
                <w:color w:val="333333"/>
                <w:sz w:val="24"/>
                <w:szCs w:val="24"/>
              </w:rPr>
              <w:t>何家福</w:t>
            </w:r>
          </w:p>
          <w:p w:rsidR="00AD2971" w:rsidRDefault="0098245A" w:rsidP="00CC4011">
            <w:pPr>
              <w:rPr>
                <w:rFonts w:ascii="Arial" w:hAnsi="Arial" w:cs="Arial"/>
                <w:color w:val="333333"/>
                <w:sz w:val="24"/>
                <w:szCs w:val="24"/>
              </w:rPr>
            </w:pPr>
            <w:r>
              <w:rPr>
                <w:rFonts w:ascii="Arial" w:hAnsi="Arial" w:cs="Arial" w:hint="eastAsia"/>
                <w:color w:val="333333"/>
                <w:sz w:val="24"/>
                <w:szCs w:val="24"/>
              </w:rPr>
              <w:t>董事会秘书</w:t>
            </w:r>
            <w:r w:rsidR="00F43BDD">
              <w:rPr>
                <w:rFonts w:ascii="Arial" w:hAnsi="Arial" w:cs="Arial" w:hint="eastAsia"/>
                <w:color w:val="333333"/>
                <w:sz w:val="24"/>
                <w:szCs w:val="24"/>
              </w:rPr>
              <w:t xml:space="preserve"> </w:t>
            </w:r>
            <w:r w:rsidR="00AD2971">
              <w:rPr>
                <w:rFonts w:ascii="Arial" w:hAnsi="Arial" w:cs="Arial"/>
                <w:color w:val="333333"/>
                <w:sz w:val="24"/>
                <w:szCs w:val="24"/>
              </w:rPr>
              <w:t xml:space="preserve"> </w:t>
            </w:r>
            <w:r>
              <w:rPr>
                <w:rFonts w:ascii="Arial" w:hAnsi="Arial" w:cs="Arial" w:hint="eastAsia"/>
                <w:color w:val="333333"/>
                <w:sz w:val="24"/>
                <w:szCs w:val="24"/>
              </w:rPr>
              <w:t>杜璟</w:t>
            </w:r>
          </w:p>
          <w:p w:rsidR="00171C69" w:rsidRDefault="0098245A" w:rsidP="00CC4011">
            <w:pPr>
              <w:rPr>
                <w:rFonts w:ascii="Arial" w:hAnsi="Arial" w:cs="Arial"/>
                <w:color w:val="333333"/>
                <w:sz w:val="24"/>
                <w:szCs w:val="24"/>
              </w:rPr>
            </w:pPr>
            <w:r>
              <w:rPr>
                <w:rFonts w:ascii="Arial" w:hAnsi="Arial" w:cs="Arial" w:hint="eastAsia"/>
                <w:color w:val="333333"/>
                <w:sz w:val="24"/>
                <w:szCs w:val="24"/>
              </w:rPr>
              <w:t>财务总监</w:t>
            </w:r>
            <w:r w:rsidR="00F43BDD">
              <w:rPr>
                <w:rFonts w:ascii="Arial" w:hAnsi="Arial" w:cs="Arial" w:hint="eastAsia"/>
                <w:color w:val="333333"/>
                <w:sz w:val="24"/>
                <w:szCs w:val="24"/>
              </w:rPr>
              <w:t xml:space="preserve">  </w:t>
            </w:r>
            <w:r>
              <w:rPr>
                <w:rFonts w:ascii="Arial" w:hAnsi="Arial" w:cs="Arial" w:hint="eastAsia"/>
                <w:color w:val="333333"/>
                <w:sz w:val="24"/>
                <w:szCs w:val="24"/>
              </w:rPr>
              <w:t>韩玮</w:t>
            </w:r>
          </w:p>
          <w:p w:rsidR="00534DEB" w:rsidRPr="00007EA9" w:rsidRDefault="00534DEB" w:rsidP="00CC4011">
            <w:pPr>
              <w:rPr>
                <w:rFonts w:ascii="Arial" w:hAnsi="Arial" w:cs="Arial"/>
                <w:color w:val="333333"/>
                <w:sz w:val="24"/>
                <w:szCs w:val="24"/>
              </w:rPr>
            </w:pPr>
            <w:r>
              <w:rPr>
                <w:rFonts w:ascii="Arial" w:hAnsi="Arial" w:cs="Arial" w:hint="eastAsia"/>
                <w:color w:val="333333"/>
                <w:sz w:val="24"/>
                <w:szCs w:val="24"/>
              </w:rPr>
              <w:t>证券事务代表</w:t>
            </w:r>
            <w:r>
              <w:rPr>
                <w:rFonts w:ascii="Arial" w:hAnsi="Arial" w:cs="Arial" w:hint="eastAsia"/>
                <w:color w:val="333333"/>
                <w:sz w:val="24"/>
                <w:szCs w:val="24"/>
              </w:rPr>
              <w:t xml:space="preserve"> </w:t>
            </w:r>
            <w:r>
              <w:rPr>
                <w:rFonts w:ascii="Arial" w:hAnsi="Arial" w:cs="Arial"/>
                <w:color w:val="333333"/>
                <w:sz w:val="24"/>
                <w:szCs w:val="24"/>
              </w:rPr>
              <w:t xml:space="preserve"> </w:t>
            </w:r>
            <w:r>
              <w:rPr>
                <w:rFonts w:ascii="Arial" w:hAnsi="Arial" w:cs="Arial" w:hint="eastAsia"/>
                <w:color w:val="333333"/>
                <w:sz w:val="24"/>
                <w:szCs w:val="24"/>
              </w:rPr>
              <w:t>张宏芳</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87E86">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投资者关系活动主要内容介绍</w:t>
            </w:r>
          </w:p>
        </w:tc>
        <w:tc>
          <w:tcPr>
            <w:tcW w:w="6814" w:type="dxa"/>
            <w:tcBorders>
              <w:top w:val="single" w:sz="4" w:space="0" w:color="auto"/>
              <w:left w:val="single" w:sz="4" w:space="0" w:color="auto"/>
              <w:bottom w:val="single" w:sz="4" w:space="0" w:color="auto"/>
              <w:right w:val="single" w:sz="4" w:space="0" w:color="auto"/>
            </w:tcBorders>
          </w:tcPr>
          <w:p w:rsidR="0098245A" w:rsidRPr="003F4B25" w:rsidRDefault="0098245A" w:rsidP="00BA067A">
            <w:pPr>
              <w:ind w:firstLineChars="200" w:firstLine="482"/>
              <w:rPr>
                <w:rFonts w:ascii="宋体" w:hAnsi="宋体"/>
                <w:b/>
                <w:sz w:val="24"/>
              </w:rPr>
            </w:pPr>
            <w:r w:rsidRPr="003F4B25">
              <w:rPr>
                <w:rFonts w:ascii="宋体" w:hAnsi="宋体" w:hint="eastAsia"/>
                <w:b/>
                <w:sz w:val="24"/>
              </w:rPr>
              <w:t>一、介绍公司基本情况</w:t>
            </w:r>
          </w:p>
          <w:p w:rsidR="005615E7" w:rsidRPr="005615E7" w:rsidRDefault="0010373E" w:rsidP="00BA067A">
            <w:pPr>
              <w:ind w:firstLineChars="200" w:firstLine="480"/>
              <w:rPr>
                <w:rFonts w:ascii="宋体" w:hAnsi="宋体"/>
                <w:sz w:val="24"/>
              </w:rPr>
            </w:pPr>
            <w:r>
              <w:rPr>
                <w:rFonts w:ascii="宋体" w:hAnsi="宋体" w:hint="eastAsia"/>
                <w:sz w:val="24"/>
              </w:rPr>
              <w:t>供销大集集团股份有限公司（以下简称“供销大集”）</w:t>
            </w:r>
            <w:r w:rsidR="005615E7" w:rsidRPr="005615E7">
              <w:rPr>
                <w:rFonts w:ascii="宋体" w:hAnsi="宋体" w:hint="eastAsia"/>
                <w:sz w:val="24"/>
              </w:rPr>
              <w:t>所处行业为“批发和零售业”，公司定位为“中国城乡商品流通综合服务运营商”，</w:t>
            </w:r>
            <w:r>
              <w:rPr>
                <w:rFonts w:ascii="宋体" w:hAnsi="宋体" w:hint="eastAsia"/>
                <w:sz w:val="24"/>
              </w:rPr>
              <w:t>公司</w:t>
            </w:r>
            <w:r w:rsidR="005615E7" w:rsidRPr="005615E7">
              <w:rPr>
                <w:rFonts w:ascii="宋体" w:hAnsi="宋体" w:hint="eastAsia"/>
                <w:sz w:val="24"/>
              </w:rPr>
              <w:t>业务已涵盖批发零售、电子商务、供应</w:t>
            </w:r>
            <w:proofErr w:type="gramStart"/>
            <w:r w:rsidR="005615E7" w:rsidRPr="005615E7">
              <w:rPr>
                <w:rFonts w:ascii="宋体" w:hAnsi="宋体" w:hint="eastAsia"/>
                <w:sz w:val="24"/>
              </w:rPr>
              <w:t>链服务</w:t>
            </w:r>
            <w:proofErr w:type="gramEnd"/>
            <w:r w:rsidR="005615E7" w:rsidRPr="005615E7">
              <w:rPr>
                <w:rFonts w:ascii="宋体" w:hAnsi="宋体" w:hint="eastAsia"/>
                <w:sz w:val="24"/>
              </w:rPr>
              <w:t>等。公司以国际化视野</w:t>
            </w:r>
            <w:proofErr w:type="gramStart"/>
            <w:r w:rsidR="005615E7" w:rsidRPr="005615E7">
              <w:rPr>
                <w:rFonts w:ascii="宋体" w:hAnsi="宋体" w:hint="eastAsia"/>
                <w:sz w:val="24"/>
              </w:rPr>
              <w:t>践行</w:t>
            </w:r>
            <w:proofErr w:type="gramEnd"/>
            <w:r w:rsidR="005615E7" w:rsidRPr="005615E7">
              <w:rPr>
                <w:rFonts w:ascii="宋体" w:hAnsi="宋体" w:hint="eastAsia"/>
                <w:sz w:val="24"/>
              </w:rPr>
              <w:t>新商业理念，按照“集、铺、网、链、投”的业务划分，形成“四产一投”互为一体的全新“供、销”商业模式，利用互联网、现代物流、现代金融等手段，整合优势商品资源，统筹规划城乡实体经销网、城乡电子商务网、城乡物流</w:t>
            </w:r>
            <w:proofErr w:type="gramStart"/>
            <w:r w:rsidR="005615E7" w:rsidRPr="005615E7">
              <w:rPr>
                <w:rFonts w:ascii="宋体" w:hAnsi="宋体" w:hint="eastAsia"/>
                <w:sz w:val="24"/>
              </w:rPr>
              <w:t>配送网</w:t>
            </w:r>
            <w:proofErr w:type="gramEnd"/>
            <w:r w:rsidR="005615E7" w:rsidRPr="005615E7">
              <w:rPr>
                <w:rFonts w:ascii="宋体" w:hAnsi="宋体" w:hint="eastAsia"/>
                <w:sz w:val="24"/>
              </w:rPr>
              <w:t>“三网”布局。公司目前业务分别由中国集、</w:t>
            </w:r>
            <w:proofErr w:type="gramStart"/>
            <w:r w:rsidR="005615E7" w:rsidRPr="005615E7">
              <w:rPr>
                <w:rFonts w:ascii="宋体" w:hAnsi="宋体" w:hint="eastAsia"/>
                <w:sz w:val="24"/>
              </w:rPr>
              <w:t>酷铺商贸</w:t>
            </w:r>
            <w:proofErr w:type="gramEnd"/>
            <w:r w:rsidR="005615E7" w:rsidRPr="005615E7">
              <w:rPr>
                <w:rFonts w:ascii="宋体" w:hAnsi="宋体" w:hint="eastAsia"/>
                <w:sz w:val="24"/>
              </w:rPr>
              <w:t>、掌合天下、大集供销链、</w:t>
            </w:r>
            <w:proofErr w:type="gramStart"/>
            <w:r w:rsidR="005615E7" w:rsidRPr="005615E7">
              <w:rPr>
                <w:rFonts w:ascii="宋体" w:hAnsi="宋体" w:hint="eastAsia"/>
                <w:sz w:val="24"/>
              </w:rPr>
              <w:t>大集金服及</w:t>
            </w:r>
            <w:proofErr w:type="gramEnd"/>
            <w:r w:rsidR="005615E7" w:rsidRPr="005615E7">
              <w:rPr>
                <w:rFonts w:ascii="宋体" w:hAnsi="宋体" w:hint="eastAsia"/>
                <w:sz w:val="24"/>
              </w:rPr>
              <w:t xml:space="preserve">民生百货六大部分组成。 </w:t>
            </w:r>
          </w:p>
          <w:p w:rsidR="005615E7" w:rsidRPr="005615E7" w:rsidRDefault="005615E7" w:rsidP="00BA067A">
            <w:pPr>
              <w:ind w:firstLineChars="200" w:firstLine="480"/>
              <w:rPr>
                <w:rFonts w:ascii="宋体" w:hAnsi="宋体"/>
                <w:sz w:val="24"/>
              </w:rPr>
            </w:pPr>
            <w:r w:rsidRPr="005615E7">
              <w:rPr>
                <w:rFonts w:ascii="宋体" w:hAnsi="宋体" w:hint="eastAsia"/>
                <w:sz w:val="24"/>
              </w:rPr>
              <w:t>1.中国集是供销大集业务发展的重要载体和城乡实体经销网的核心枢纽，定位为“以城乡商品供销为核心产业的中国新型城镇化发展商”，专注片区开发、产业投资、综合运营等领域，以“中国新型城镇化•城乡商品供销示范区”为主要产品，为供销大集商贸、物流、网络、金融等业务提供支撑，助力“服务三农，连接城乡商品流通与新型城镇化”战略落地。</w:t>
            </w:r>
          </w:p>
          <w:p w:rsidR="005615E7" w:rsidRPr="005615E7" w:rsidRDefault="005615E7" w:rsidP="00BA067A">
            <w:pPr>
              <w:ind w:firstLineChars="200" w:firstLine="480"/>
              <w:rPr>
                <w:rFonts w:ascii="宋体" w:hAnsi="宋体"/>
                <w:sz w:val="24"/>
              </w:rPr>
            </w:pPr>
            <w:r w:rsidRPr="005615E7">
              <w:rPr>
                <w:rFonts w:ascii="宋体" w:hAnsi="宋体" w:hint="eastAsia"/>
                <w:sz w:val="24"/>
              </w:rPr>
              <w:t>2.</w:t>
            </w:r>
            <w:proofErr w:type="gramStart"/>
            <w:r w:rsidRPr="005615E7">
              <w:rPr>
                <w:rFonts w:ascii="宋体" w:hAnsi="宋体" w:hint="eastAsia"/>
                <w:sz w:val="24"/>
              </w:rPr>
              <w:t>酷铺商贸</w:t>
            </w:r>
            <w:proofErr w:type="gramEnd"/>
            <w:r w:rsidRPr="005615E7">
              <w:rPr>
                <w:rFonts w:ascii="宋体" w:hAnsi="宋体" w:hint="eastAsia"/>
                <w:sz w:val="24"/>
              </w:rPr>
              <w:t>致力于打造中国城乡商品流通实体经销网，深耕城乡商品销售和一体化服务，整合上下游资源，发展融合线上线下的多业态、全渠道、数据化</w:t>
            </w:r>
            <w:proofErr w:type="gramStart"/>
            <w:r w:rsidRPr="005615E7">
              <w:rPr>
                <w:rFonts w:ascii="宋体" w:hAnsi="宋体" w:hint="eastAsia"/>
                <w:sz w:val="24"/>
              </w:rPr>
              <w:t>的酷铺自营</w:t>
            </w:r>
            <w:proofErr w:type="gramEnd"/>
            <w:r w:rsidRPr="005615E7">
              <w:rPr>
                <w:rFonts w:ascii="宋体" w:hAnsi="宋体" w:hint="eastAsia"/>
                <w:sz w:val="24"/>
              </w:rPr>
              <w:t>和加盟门店，通过平台与终端门店为广大城乡居民提供商品零售服务，打造基</w:t>
            </w:r>
            <w:r w:rsidRPr="005615E7">
              <w:rPr>
                <w:rFonts w:ascii="宋体" w:hAnsi="宋体" w:hint="eastAsia"/>
                <w:sz w:val="24"/>
              </w:rPr>
              <w:lastRenderedPageBreak/>
              <w:t>于门店运营与服务的零售共享生态圈。</w:t>
            </w:r>
          </w:p>
          <w:p w:rsidR="005615E7" w:rsidRPr="005615E7" w:rsidRDefault="005615E7" w:rsidP="00BA067A">
            <w:pPr>
              <w:ind w:firstLineChars="200" w:firstLine="480"/>
              <w:rPr>
                <w:rFonts w:ascii="宋体" w:hAnsi="宋体"/>
                <w:sz w:val="24"/>
              </w:rPr>
            </w:pPr>
            <w:r w:rsidRPr="005615E7">
              <w:rPr>
                <w:rFonts w:ascii="宋体" w:hAnsi="宋体" w:hint="eastAsia"/>
                <w:sz w:val="24"/>
              </w:rPr>
              <w:t>3.掌合天下致力于</w:t>
            </w:r>
            <w:proofErr w:type="gramStart"/>
            <w:r w:rsidRPr="005615E7">
              <w:rPr>
                <w:rFonts w:ascii="宋体" w:hAnsi="宋体" w:hint="eastAsia"/>
                <w:sz w:val="24"/>
              </w:rPr>
              <w:t>构建快消品</w:t>
            </w:r>
            <w:proofErr w:type="gramEnd"/>
            <w:r w:rsidRPr="005615E7">
              <w:rPr>
                <w:rFonts w:ascii="宋体" w:hAnsi="宋体" w:hint="eastAsia"/>
                <w:sz w:val="24"/>
              </w:rPr>
              <w:t>B2B商业新生态链，全力打造线上B2B电子商务平台、线下</w:t>
            </w:r>
            <w:proofErr w:type="gramStart"/>
            <w:r w:rsidRPr="005615E7">
              <w:rPr>
                <w:rFonts w:ascii="宋体" w:hAnsi="宋体" w:hint="eastAsia"/>
                <w:sz w:val="24"/>
              </w:rPr>
              <w:t>云仓供应</w:t>
            </w:r>
            <w:proofErr w:type="gramEnd"/>
            <w:r w:rsidRPr="005615E7">
              <w:rPr>
                <w:rFonts w:ascii="宋体" w:hAnsi="宋体" w:hint="eastAsia"/>
                <w:sz w:val="24"/>
              </w:rPr>
              <w:t>链平台，</w:t>
            </w:r>
            <w:proofErr w:type="gramStart"/>
            <w:r w:rsidRPr="005615E7">
              <w:rPr>
                <w:rFonts w:ascii="宋体" w:hAnsi="宋体" w:hint="eastAsia"/>
                <w:sz w:val="24"/>
              </w:rPr>
              <w:t>协同酷铺商贸</w:t>
            </w:r>
            <w:proofErr w:type="gramEnd"/>
            <w:r w:rsidRPr="005615E7">
              <w:rPr>
                <w:rFonts w:ascii="宋体" w:hAnsi="宋体" w:hint="eastAsia"/>
                <w:sz w:val="24"/>
              </w:rPr>
              <w:t>、大集供销链、</w:t>
            </w:r>
            <w:proofErr w:type="gramStart"/>
            <w:r w:rsidRPr="005615E7">
              <w:rPr>
                <w:rFonts w:ascii="宋体" w:hAnsi="宋体" w:hint="eastAsia"/>
                <w:sz w:val="24"/>
              </w:rPr>
              <w:t>大集金服深耕</w:t>
            </w:r>
            <w:proofErr w:type="gramEnd"/>
            <w:r w:rsidRPr="005615E7">
              <w:rPr>
                <w:rFonts w:ascii="宋体" w:hAnsi="宋体" w:hint="eastAsia"/>
                <w:sz w:val="24"/>
              </w:rPr>
              <w:t>商贸流通领域，实现“品仓店+供应链金融”一体化服务，依托“城市合伙人”模式，为快消品行业供货商和零售终端提供便捷、透明、安全的一站式B2B供应链运营解决方案。</w:t>
            </w:r>
          </w:p>
          <w:p w:rsidR="005615E7" w:rsidRPr="005615E7" w:rsidRDefault="005615E7" w:rsidP="00BA067A">
            <w:pPr>
              <w:ind w:firstLineChars="200" w:firstLine="480"/>
              <w:rPr>
                <w:rFonts w:ascii="宋体" w:hAnsi="宋体"/>
                <w:sz w:val="24"/>
              </w:rPr>
            </w:pPr>
            <w:r w:rsidRPr="005615E7">
              <w:rPr>
                <w:rFonts w:ascii="宋体" w:hAnsi="宋体" w:hint="eastAsia"/>
                <w:sz w:val="24"/>
              </w:rPr>
              <w:t>4.大集供销链致力于以一站式供销链管理服务为产业依托，聚焦打造核心商品优势的目标，充分发挥渠道、资金、品牌优势，开展农产品、</w:t>
            </w:r>
            <w:proofErr w:type="gramStart"/>
            <w:r w:rsidRPr="005615E7">
              <w:rPr>
                <w:rFonts w:ascii="宋体" w:hAnsi="宋体" w:hint="eastAsia"/>
                <w:sz w:val="24"/>
              </w:rPr>
              <w:t>快消品</w:t>
            </w:r>
            <w:proofErr w:type="gramEnd"/>
            <w:r w:rsidRPr="005615E7">
              <w:rPr>
                <w:rFonts w:ascii="宋体" w:hAnsi="宋体" w:hint="eastAsia"/>
                <w:sz w:val="24"/>
              </w:rPr>
              <w:t>、母婴类用品批发贸易业务以及品牌代理、自有品牌等分销业务，促进物流、贸易业务高效有机融合，实现有优势的产品放量销售，打造高效的供销</w:t>
            </w:r>
            <w:proofErr w:type="gramStart"/>
            <w:r w:rsidRPr="005615E7">
              <w:rPr>
                <w:rFonts w:ascii="宋体" w:hAnsi="宋体" w:hint="eastAsia"/>
                <w:sz w:val="24"/>
              </w:rPr>
              <w:t>链服务</w:t>
            </w:r>
            <w:proofErr w:type="gramEnd"/>
            <w:r w:rsidRPr="005615E7">
              <w:rPr>
                <w:rFonts w:ascii="宋体" w:hAnsi="宋体" w:hint="eastAsia"/>
                <w:sz w:val="24"/>
              </w:rPr>
              <w:t>体系。</w:t>
            </w:r>
          </w:p>
          <w:p w:rsidR="005615E7" w:rsidRPr="005615E7" w:rsidRDefault="005615E7" w:rsidP="00BA067A">
            <w:pPr>
              <w:ind w:firstLineChars="200" w:firstLine="480"/>
              <w:rPr>
                <w:rFonts w:ascii="宋体" w:hAnsi="宋体"/>
                <w:sz w:val="24"/>
              </w:rPr>
            </w:pPr>
            <w:r w:rsidRPr="005615E7">
              <w:rPr>
                <w:rFonts w:ascii="宋体" w:hAnsi="宋体" w:hint="eastAsia"/>
                <w:sz w:val="24"/>
              </w:rPr>
              <w:t>5.</w:t>
            </w:r>
            <w:proofErr w:type="gramStart"/>
            <w:r w:rsidRPr="005615E7">
              <w:rPr>
                <w:rFonts w:ascii="宋体" w:hAnsi="宋体" w:hint="eastAsia"/>
                <w:sz w:val="24"/>
              </w:rPr>
              <w:t>大集金服以</w:t>
            </w:r>
            <w:proofErr w:type="gramEnd"/>
            <w:r w:rsidRPr="005615E7">
              <w:rPr>
                <w:rFonts w:ascii="宋体" w:hAnsi="宋体" w:hint="eastAsia"/>
                <w:sz w:val="24"/>
              </w:rPr>
              <w:t>一站</w:t>
            </w:r>
            <w:proofErr w:type="gramStart"/>
            <w:r w:rsidRPr="005615E7">
              <w:rPr>
                <w:rFonts w:ascii="宋体" w:hAnsi="宋体" w:hint="eastAsia"/>
                <w:sz w:val="24"/>
              </w:rPr>
              <w:t>式供应</w:t>
            </w:r>
            <w:proofErr w:type="gramEnd"/>
            <w:r w:rsidRPr="005615E7">
              <w:rPr>
                <w:rFonts w:ascii="宋体" w:hAnsi="宋体" w:hint="eastAsia"/>
                <w:sz w:val="24"/>
              </w:rPr>
              <w:t>链管理服务为产业基础，紧密围绕供销大集产业生态圈，发挥供销大集的商业网络及资金优势，精心为供销大集产业链上的商家和消费者提供丰富多样、自主灵活的供应</w:t>
            </w:r>
            <w:proofErr w:type="gramStart"/>
            <w:r w:rsidRPr="005615E7">
              <w:rPr>
                <w:rFonts w:ascii="宋体" w:hAnsi="宋体" w:hint="eastAsia"/>
                <w:sz w:val="24"/>
              </w:rPr>
              <w:t>链金融</w:t>
            </w:r>
            <w:proofErr w:type="gramEnd"/>
            <w:r w:rsidRPr="005615E7">
              <w:rPr>
                <w:rFonts w:ascii="宋体" w:hAnsi="宋体" w:hint="eastAsia"/>
                <w:sz w:val="24"/>
              </w:rPr>
              <w:t>服务，2017年业务范围发展至涵盖互联网金融、商业保理、小额贷款、典当及基金投资等金融服务产品。</w:t>
            </w:r>
          </w:p>
          <w:p w:rsidR="005615E7" w:rsidRDefault="005615E7" w:rsidP="00BA067A">
            <w:pPr>
              <w:ind w:firstLineChars="200" w:firstLine="480"/>
              <w:rPr>
                <w:rFonts w:ascii="宋体" w:hAnsi="宋体"/>
                <w:sz w:val="24"/>
              </w:rPr>
            </w:pPr>
            <w:r w:rsidRPr="005615E7">
              <w:rPr>
                <w:rFonts w:ascii="宋体" w:hAnsi="宋体" w:hint="eastAsia"/>
                <w:sz w:val="24"/>
              </w:rPr>
              <w:t>6.民生百货以实体门店经营为核心，以联营+租赁为主的模式开展门店经营。通过聚焦消费需求，不断调整转型，在“百货+综合购物中心、社区购物中心”及线上购物相融合的“新零售”方向持续探索，为满足不同消费者个性化的生活追求和审美提供丰富的商品和体验；同时充分发挥品牌优势，实施商誉+管理输出战略，挖掘利润增长点。</w:t>
            </w:r>
          </w:p>
          <w:p w:rsidR="00351F24" w:rsidRPr="003F4B25" w:rsidRDefault="0010373E" w:rsidP="00BA067A">
            <w:pPr>
              <w:ind w:firstLineChars="200" w:firstLine="482"/>
              <w:rPr>
                <w:rFonts w:ascii="宋体" w:hAnsi="宋体"/>
                <w:b/>
                <w:sz w:val="24"/>
              </w:rPr>
            </w:pPr>
            <w:r w:rsidRPr="003F4B25">
              <w:rPr>
                <w:rFonts w:ascii="宋体" w:hAnsi="宋体" w:hint="eastAsia"/>
                <w:b/>
                <w:sz w:val="24"/>
              </w:rPr>
              <w:t>二</w:t>
            </w:r>
            <w:r w:rsidR="00351F24" w:rsidRPr="003F4B25">
              <w:rPr>
                <w:rFonts w:ascii="宋体" w:hAnsi="宋体" w:hint="eastAsia"/>
                <w:b/>
                <w:sz w:val="24"/>
              </w:rPr>
              <w:t>、介绍公司目前运营情况</w:t>
            </w:r>
          </w:p>
          <w:p w:rsidR="00351F24" w:rsidRDefault="00351F24" w:rsidP="00BA067A">
            <w:pPr>
              <w:ind w:firstLineChars="200" w:firstLine="480"/>
              <w:rPr>
                <w:rFonts w:ascii="宋体" w:hAnsi="宋体"/>
                <w:sz w:val="24"/>
              </w:rPr>
            </w:pPr>
            <w:r>
              <w:rPr>
                <w:rFonts w:ascii="宋体" w:hAnsi="宋体" w:hint="eastAsia"/>
                <w:sz w:val="24"/>
              </w:rPr>
              <w:t>2</w:t>
            </w:r>
            <w:r>
              <w:rPr>
                <w:rFonts w:ascii="宋体" w:hAnsi="宋体"/>
                <w:sz w:val="24"/>
              </w:rPr>
              <w:t>017</w:t>
            </w:r>
            <w:r>
              <w:rPr>
                <w:rFonts w:ascii="宋体" w:hAnsi="宋体" w:hint="eastAsia"/>
                <w:sz w:val="24"/>
              </w:rPr>
              <w:t>年</w:t>
            </w:r>
            <w:r w:rsidRPr="00B87488">
              <w:rPr>
                <w:rFonts w:ascii="宋体" w:hAnsi="宋体" w:hint="eastAsia"/>
                <w:sz w:val="24"/>
              </w:rPr>
              <w:t>，公司实现营业收入2,778,952.67万元，较上年同期增长91.75%，实现净利润147,414.75万元，较上年同期增长99.73%，其中归属上市公司股东的净利润141,452.09万元，较上年同期增长99.70%。</w:t>
            </w:r>
          </w:p>
          <w:p w:rsidR="00272E65" w:rsidRPr="00272E65" w:rsidRDefault="00272E65" w:rsidP="00BA067A">
            <w:pPr>
              <w:ind w:firstLineChars="200" w:firstLine="480"/>
              <w:rPr>
                <w:rFonts w:ascii="宋体" w:hAnsi="宋体"/>
                <w:sz w:val="24"/>
              </w:rPr>
            </w:pPr>
            <w:r w:rsidRPr="00272E65">
              <w:rPr>
                <w:rFonts w:ascii="宋体" w:hAnsi="宋体" w:hint="eastAsia"/>
                <w:sz w:val="24"/>
              </w:rPr>
              <w:t>2017年</w:t>
            </w:r>
            <w:r>
              <w:rPr>
                <w:rFonts w:ascii="宋体" w:hAnsi="宋体" w:hint="eastAsia"/>
                <w:sz w:val="24"/>
              </w:rPr>
              <w:t>，</w:t>
            </w:r>
            <w:r w:rsidRPr="00272E65">
              <w:rPr>
                <w:rFonts w:ascii="宋体" w:hAnsi="宋体" w:hint="eastAsia"/>
                <w:sz w:val="24"/>
              </w:rPr>
              <w:t>中国集存量业务经营态势稳定，圆满完成公司年初制定的各项经营任务。全年与各地相关政府部门累计签署合作协议20余份，涉及土地约25万亩，并在中国国家级、区域级城市群周边累计拓展10余个新项目，覆盖京津冀、长三角、长江中游、成渝等国家级城市群及哈长、山东半岛、关中等区域级城市群。</w:t>
            </w:r>
          </w:p>
          <w:p w:rsidR="00272E65" w:rsidRDefault="00272E65" w:rsidP="00BA067A">
            <w:pPr>
              <w:ind w:firstLineChars="200" w:firstLine="480"/>
              <w:rPr>
                <w:rFonts w:ascii="宋体" w:hAnsi="宋体"/>
                <w:sz w:val="24"/>
              </w:rPr>
            </w:pPr>
            <w:r w:rsidRPr="00272E65">
              <w:rPr>
                <w:rFonts w:ascii="宋体" w:hAnsi="宋体" w:hint="eastAsia"/>
                <w:sz w:val="24"/>
              </w:rPr>
              <w:t>中国</w:t>
            </w:r>
            <w:proofErr w:type="gramStart"/>
            <w:r w:rsidRPr="00272E65">
              <w:rPr>
                <w:rFonts w:ascii="宋体" w:hAnsi="宋体" w:hint="eastAsia"/>
                <w:sz w:val="24"/>
              </w:rPr>
              <w:t>集积极</w:t>
            </w:r>
            <w:proofErr w:type="gramEnd"/>
            <w:r w:rsidRPr="00272E65">
              <w:rPr>
                <w:rFonts w:ascii="宋体" w:hAnsi="宋体" w:hint="eastAsia"/>
                <w:sz w:val="24"/>
              </w:rPr>
              <w:t>与行业领先品牌企业建立合作关系，全年累计发展产业联盟60余家，为商贸、创意办公、文旅、酒店、医疗、康养、教育等优质资源在中国</w:t>
            </w:r>
            <w:proofErr w:type="gramStart"/>
            <w:r w:rsidRPr="00272E65">
              <w:rPr>
                <w:rFonts w:ascii="宋体" w:hAnsi="宋体" w:hint="eastAsia"/>
                <w:sz w:val="24"/>
              </w:rPr>
              <w:t>集项目</w:t>
            </w:r>
            <w:proofErr w:type="gramEnd"/>
            <w:r w:rsidRPr="00272E65">
              <w:rPr>
                <w:rFonts w:ascii="宋体" w:hAnsi="宋体" w:hint="eastAsia"/>
                <w:sz w:val="24"/>
              </w:rPr>
              <w:t>集聚创造条件。</w:t>
            </w:r>
          </w:p>
          <w:p w:rsidR="00351F24" w:rsidRPr="00351F24" w:rsidRDefault="00351F24" w:rsidP="00BA067A">
            <w:pPr>
              <w:ind w:firstLineChars="200" w:firstLine="480"/>
              <w:rPr>
                <w:rFonts w:ascii="宋体" w:hAnsi="宋体"/>
                <w:sz w:val="24"/>
              </w:rPr>
            </w:pPr>
            <w:r w:rsidRPr="00351F24">
              <w:rPr>
                <w:rFonts w:ascii="宋体" w:hAnsi="宋体" w:hint="eastAsia"/>
                <w:sz w:val="24"/>
              </w:rPr>
              <w:t>掌合天下依托城市合伙人计划，通过全品类平台本地化运营的模式，打造面向零售终端的最广阔的电子商务平台网络，现业务覆盖全国29个省份，市场遍布全国900多个城市，2017年GMV（平台交易总额）超过800亿元。</w:t>
            </w:r>
          </w:p>
          <w:p w:rsidR="00351F24" w:rsidRPr="00351F24" w:rsidRDefault="00351F24" w:rsidP="00BA067A">
            <w:pPr>
              <w:ind w:firstLineChars="200" w:firstLine="480"/>
              <w:rPr>
                <w:rFonts w:ascii="宋体" w:hAnsi="宋体"/>
                <w:sz w:val="24"/>
              </w:rPr>
            </w:pPr>
            <w:r w:rsidRPr="00351F24">
              <w:rPr>
                <w:rFonts w:ascii="宋体" w:hAnsi="宋体" w:hint="eastAsia"/>
                <w:sz w:val="24"/>
              </w:rPr>
              <w:t>掌合天下大力推动线下供应链仓储物流业务，启动掌</w:t>
            </w:r>
            <w:proofErr w:type="gramStart"/>
            <w:r w:rsidRPr="00351F24">
              <w:rPr>
                <w:rFonts w:ascii="宋体" w:hAnsi="宋体" w:hint="eastAsia"/>
                <w:sz w:val="24"/>
              </w:rPr>
              <w:t>合云</w:t>
            </w:r>
            <w:r w:rsidRPr="00351F24">
              <w:rPr>
                <w:rFonts w:ascii="宋体" w:hAnsi="宋体" w:hint="eastAsia"/>
                <w:sz w:val="24"/>
              </w:rPr>
              <w:lastRenderedPageBreak/>
              <w:t>仓</w:t>
            </w:r>
            <w:proofErr w:type="gramEnd"/>
            <w:r w:rsidRPr="00351F24">
              <w:rPr>
                <w:rFonts w:ascii="宋体" w:hAnsi="宋体" w:hint="eastAsia"/>
                <w:sz w:val="24"/>
              </w:rPr>
              <w:t>项目，2017年</w:t>
            </w:r>
            <w:proofErr w:type="gramStart"/>
            <w:r w:rsidRPr="00351F24">
              <w:rPr>
                <w:rFonts w:ascii="宋体" w:hAnsi="宋体" w:hint="eastAsia"/>
                <w:sz w:val="24"/>
              </w:rPr>
              <w:t>拓展云仓42个</w:t>
            </w:r>
            <w:proofErr w:type="gramEnd"/>
            <w:r w:rsidRPr="00351F24">
              <w:rPr>
                <w:rFonts w:ascii="宋体" w:hAnsi="宋体" w:hint="eastAsia"/>
                <w:sz w:val="24"/>
              </w:rPr>
              <w:t>，总面积近20万㎡，其中合资仓27个，面积12.77万㎡，在华北、华东、东北地区初步建立了</w:t>
            </w:r>
            <w:proofErr w:type="gramStart"/>
            <w:r w:rsidRPr="00351F24">
              <w:rPr>
                <w:rFonts w:ascii="宋体" w:hAnsi="宋体" w:hint="eastAsia"/>
                <w:sz w:val="24"/>
              </w:rPr>
              <w:t>以云仓为</w:t>
            </w:r>
            <w:proofErr w:type="gramEnd"/>
            <w:r w:rsidRPr="00351F24">
              <w:rPr>
                <w:rFonts w:ascii="宋体" w:hAnsi="宋体" w:hint="eastAsia"/>
                <w:sz w:val="24"/>
              </w:rPr>
              <w:t>核心的区域供应链配送网络，服务</w:t>
            </w:r>
            <w:proofErr w:type="gramStart"/>
            <w:r w:rsidRPr="00351F24">
              <w:rPr>
                <w:rFonts w:ascii="宋体" w:hAnsi="宋体" w:hint="eastAsia"/>
                <w:sz w:val="24"/>
              </w:rPr>
              <w:t>于酷铺和</w:t>
            </w:r>
            <w:proofErr w:type="gramEnd"/>
            <w:r w:rsidRPr="00351F24">
              <w:rPr>
                <w:rFonts w:ascii="宋体" w:hAnsi="宋体" w:hint="eastAsia"/>
                <w:sz w:val="24"/>
              </w:rPr>
              <w:t>掌合天下采购终端，有力提升线上线下资源整合能力和综合服务能力。</w:t>
            </w:r>
          </w:p>
          <w:p w:rsidR="00351F24" w:rsidRDefault="00351F24" w:rsidP="00BA067A">
            <w:pPr>
              <w:ind w:firstLineChars="200" w:firstLine="480"/>
              <w:rPr>
                <w:rFonts w:ascii="宋体" w:hAnsi="宋体"/>
                <w:sz w:val="24"/>
              </w:rPr>
            </w:pPr>
            <w:r w:rsidRPr="00351F24">
              <w:rPr>
                <w:rFonts w:ascii="宋体" w:hAnsi="宋体" w:hint="eastAsia"/>
                <w:sz w:val="24"/>
              </w:rPr>
              <w:t>掌合天下加强</w:t>
            </w:r>
            <w:proofErr w:type="gramStart"/>
            <w:r w:rsidRPr="00351F24">
              <w:rPr>
                <w:rFonts w:ascii="宋体" w:hAnsi="宋体" w:hint="eastAsia"/>
                <w:sz w:val="24"/>
              </w:rPr>
              <w:t>与酷铺商贸</w:t>
            </w:r>
            <w:proofErr w:type="gramEnd"/>
            <w:r w:rsidRPr="00351F24">
              <w:rPr>
                <w:rFonts w:ascii="宋体" w:hAnsi="宋体" w:hint="eastAsia"/>
                <w:sz w:val="24"/>
              </w:rPr>
              <w:t>、大集供销链、</w:t>
            </w:r>
            <w:proofErr w:type="gramStart"/>
            <w:r w:rsidRPr="00351F24">
              <w:rPr>
                <w:rFonts w:ascii="宋体" w:hAnsi="宋体" w:hint="eastAsia"/>
                <w:sz w:val="24"/>
              </w:rPr>
              <w:t>大集金服的</w:t>
            </w:r>
            <w:proofErr w:type="gramEnd"/>
            <w:r w:rsidRPr="00351F24">
              <w:rPr>
                <w:rFonts w:ascii="宋体" w:hAnsi="宋体" w:hint="eastAsia"/>
                <w:sz w:val="24"/>
              </w:rPr>
              <w:t>业务协同，在全国范围内拓展“酷铺·掌合便利”加盟+</w:t>
            </w:r>
            <w:proofErr w:type="gramStart"/>
            <w:r w:rsidRPr="00351F24">
              <w:rPr>
                <w:rFonts w:ascii="宋体" w:hAnsi="宋体" w:hint="eastAsia"/>
                <w:sz w:val="24"/>
              </w:rPr>
              <w:t>自营门</w:t>
            </w:r>
            <w:proofErr w:type="gramEnd"/>
            <w:r w:rsidRPr="00351F24">
              <w:rPr>
                <w:rFonts w:ascii="宋体" w:hAnsi="宋体" w:hint="eastAsia"/>
                <w:sz w:val="24"/>
              </w:rPr>
              <w:t>店3000余家，整合大集供销</w:t>
            </w:r>
            <w:proofErr w:type="gramStart"/>
            <w:r w:rsidRPr="00351F24">
              <w:rPr>
                <w:rFonts w:ascii="宋体" w:hAnsi="宋体" w:hint="eastAsia"/>
                <w:sz w:val="24"/>
              </w:rPr>
              <w:t>链商品</w:t>
            </w:r>
            <w:proofErr w:type="gramEnd"/>
            <w:r w:rsidRPr="00351F24">
              <w:rPr>
                <w:rFonts w:ascii="宋体" w:hAnsi="宋体" w:hint="eastAsia"/>
                <w:sz w:val="24"/>
              </w:rPr>
              <w:t>资源，为终端门店提供丰富优质的采购货源，依托</w:t>
            </w:r>
            <w:proofErr w:type="gramStart"/>
            <w:r w:rsidRPr="00351F24">
              <w:rPr>
                <w:rFonts w:ascii="宋体" w:hAnsi="宋体" w:hint="eastAsia"/>
                <w:sz w:val="24"/>
              </w:rPr>
              <w:t>云仓供应</w:t>
            </w:r>
            <w:proofErr w:type="gramEnd"/>
            <w:r w:rsidRPr="00351F24">
              <w:rPr>
                <w:rFonts w:ascii="宋体" w:hAnsi="宋体" w:hint="eastAsia"/>
                <w:sz w:val="24"/>
              </w:rPr>
              <w:t>链配送网络服务为终端门店提供物流服务，并建立了覆盖超市用户、供应商、物流客户的</w:t>
            </w:r>
            <w:proofErr w:type="gramStart"/>
            <w:r w:rsidRPr="00351F24">
              <w:rPr>
                <w:rFonts w:ascii="宋体" w:hAnsi="宋体" w:hint="eastAsia"/>
                <w:sz w:val="24"/>
              </w:rPr>
              <w:t>全渠道</w:t>
            </w:r>
            <w:r w:rsidR="00E669E9" w:rsidRPr="00E669E9">
              <w:rPr>
                <w:rFonts w:ascii="宋体" w:hAnsi="宋体"/>
                <w:sz w:val="24"/>
              </w:rPr>
              <w:t>供应链金融</w:t>
            </w:r>
            <w:proofErr w:type="gramEnd"/>
            <w:r w:rsidR="00E669E9" w:rsidRPr="00E669E9">
              <w:rPr>
                <w:rFonts w:ascii="宋体" w:hAnsi="宋体"/>
                <w:sz w:val="24"/>
              </w:rPr>
              <w:t>服务业务</w:t>
            </w:r>
            <w:r w:rsidR="00E669E9">
              <w:rPr>
                <w:rFonts w:ascii="宋体" w:hAnsi="宋体" w:hint="eastAsia"/>
                <w:sz w:val="24"/>
              </w:rPr>
              <w:t>。</w:t>
            </w:r>
          </w:p>
          <w:p w:rsidR="009864AF" w:rsidRPr="003F4B25" w:rsidRDefault="0010373E" w:rsidP="00BA067A">
            <w:pPr>
              <w:ind w:firstLineChars="200" w:firstLine="482"/>
              <w:rPr>
                <w:rFonts w:ascii="宋体" w:hAnsi="宋体"/>
                <w:b/>
                <w:sz w:val="24"/>
              </w:rPr>
            </w:pPr>
            <w:r w:rsidRPr="003F4B25">
              <w:rPr>
                <w:rFonts w:ascii="宋体" w:hAnsi="宋体" w:hint="eastAsia"/>
                <w:b/>
                <w:sz w:val="24"/>
              </w:rPr>
              <w:t>三</w:t>
            </w:r>
            <w:r w:rsidR="009864AF" w:rsidRPr="003F4B25">
              <w:rPr>
                <w:rFonts w:ascii="宋体" w:hAnsi="宋体" w:hint="eastAsia"/>
                <w:b/>
                <w:sz w:val="24"/>
              </w:rPr>
              <w:t>、介绍公司未来经营计划</w:t>
            </w:r>
          </w:p>
          <w:p w:rsidR="009864AF" w:rsidRPr="009864AF" w:rsidRDefault="009864AF" w:rsidP="00BA067A">
            <w:pPr>
              <w:ind w:firstLineChars="200" w:firstLine="480"/>
              <w:rPr>
                <w:rFonts w:ascii="宋体" w:hAnsi="宋体"/>
                <w:sz w:val="24"/>
              </w:rPr>
            </w:pPr>
            <w:r w:rsidRPr="009864AF">
              <w:rPr>
                <w:rFonts w:ascii="宋体" w:hAnsi="宋体" w:hint="eastAsia"/>
                <w:sz w:val="24"/>
              </w:rPr>
              <w:t>公司在深耕商业零售、电子商务、供应</w:t>
            </w:r>
            <w:proofErr w:type="gramStart"/>
            <w:r w:rsidRPr="009864AF">
              <w:rPr>
                <w:rFonts w:ascii="宋体" w:hAnsi="宋体" w:hint="eastAsia"/>
                <w:sz w:val="24"/>
              </w:rPr>
              <w:t>链金融</w:t>
            </w:r>
            <w:proofErr w:type="gramEnd"/>
            <w:r w:rsidRPr="009864AF">
              <w:rPr>
                <w:rFonts w:ascii="宋体" w:hAnsi="宋体" w:hint="eastAsia"/>
                <w:sz w:val="24"/>
              </w:rPr>
              <w:t>服务等领域的同时，将加强在仓储物流、商贸物流园区等领域的业务布局，不断增强核心竞争力。</w:t>
            </w:r>
          </w:p>
          <w:p w:rsidR="009864AF" w:rsidRPr="009864AF" w:rsidRDefault="009864AF" w:rsidP="00BA067A">
            <w:pPr>
              <w:ind w:firstLineChars="200" w:firstLine="480"/>
              <w:rPr>
                <w:rFonts w:ascii="宋体" w:hAnsi="宋体"/>
                <w:sz w:val="24"/>
              </w:rPr>
            </w:pPr>
            <w:r w:rsidRPr="009864AF">
              <w:rPr>
                <w:rFonts w:ascii="宋体" w:hAnsi="宋体"/>
                <w:sz w:val="24"/>
              </w:rPr>
              <w:t>1.</w:t>
            </w:r>
            <w:r w:rsidRPr="009864AF">
              <w:rPr>
                <w:rFonts w:ascii="宋体" w:hAnsi="宋体" w:hint="eastAsia"/>
                <w:sz w:val="24"/>
              </w:rPr>
              <w:t>加快中国</w:t>
            </w:r>
            <w:proofErr w:type="gramStart"/>
            <w:r w:rsidRPr="009864AF">
              <w:rPr>
                <w:rFonts w:ascii="宋体" w:hAnsi="宋体" w:hint="eastAsia"/>
                <w:sz w:val="24"/>
              </w:rPr>
              <w:t>集项目</w:t>
            </w:r>
            <w:proofErr w:type="gramEnd"/>
            <w:r w:rsidRPr="009864AF">
              <w:rPr>
                <w:rFonts w:ascii="宋体" w:hAnsi="宋体" w:hint="eastAsia"/>
                <w:sz w:val="24"/>
              </w:rPr>
              <w:t>建设</w:t>
            </w:r>
          </w:p>
          <w:p w:rsidR="009864AF" w:rsidRPr="009864AF" w:rsidRDefault="009864AF" w:rsidP="00BA067A">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年，中国</w:t>
            </w:r>
            <w:proofErr w:type="gramStart"/>
            <w:r w:rsidRPr="009864AF">
              <w:rPr>
                <w:rFonts w:ascii="宋体" w:hAnsi="宋体" w:hint="eastAsia"/>
                <w:sz w:val="24"/>
              </w:rPr>
              <w:t>集计划</w:t>
            </w:r>
            <w:proofErr w:type="gramEnd"/>
            <w:r w:rsidRPr="009864AF">
              <w:rPr>
                <w:rFonts w:ascii="宋体" w:hAnsi="宋体" w:hint="eastAsia"/>
                <w:sz w:val="24"/>
              </w:rPr>
              <w:t>重点围绕两方面开展业务，一是扎实推进</w:t>
            </w:r>
            <w:r w:rsidRPr="009864AF">
              <w:rPr>
                <w:rFonts w:ascii="宋体" w:hAnsi="宋体"/>
                <w:sz w:val="24"/>
              </w:rPr>
              <w:t>2017</w:t>
            </w:r>
            <w:r w:rsidRPr="009864AF">
              <w:rPr>
                <w:rFonts w:ascii="宋体" w:hAnsi="宋体" w:hint="eastAsia"/>
                <w:sz w:val="24"/>
              </w:rPr>
              <w:t>年新储备项目落地，加快推进天津淮</w:t>
            </w:r>
            <w:proofErr w:type="gramStart"/>
            <w:r w:rsidRPr="009864AF">
              <w:rPr>
                <w:rFonts w:ascii="宋体" w:hAnsi="宋体" w:hint="eastAsia"/>
                <w:sz w:val="24"/>
              </w:rPr>
              <w:t>淀</w:t>
            </w:r>
            <w:proofErr w:type="gramEnd"/>
            <w:r w:rsidRPr="009864AF">
              <w:rPr>
                <w:rFonts w:ascii="宋体" w:hAnsi="宋体" w:hint="eastAsia"/>
                <w:sz w:val="24"/>
              </w:rPr>
              <w:t>项目、山东泰安项目、陕西泾阳项目、湖南宁乡项目、四川新津项目等重点项目建设，围绕海南自贸区、自由贸易港政策，突出旅游</w:t>
            </w:r>
            <w:r w:rsidRPr="009864AF">
              <w:rPr>
                <w:rFonts w:ascii="宋体" w:hAnsi="宋体"/>
                <w:sz w:val="24"/>
              </w:rPr>
              <w:t>+</w:t>
            </w:r>
            <w:r w:rsidRPr="009864AF">
              <w:rPr>
                <w:rFonts w:ascii="宋体" w:hAnsi="宋体" w:hint="eastAsia"/>
                <w:sz w:val="24"/>
              </w:rPr>
              <w:t>消费、扶贫</w:t>
            </w:r>
            <w:r w:rsidRPr="009864AF">
              <w:rPr>
                <w:rFonts w:ascii="宋体" w:hAnsi="宋体"/>
                <w:sz w:val="24"/>
              </w:rPr>
              <w:t>+</w:t>
            </w:r>
            <w:r w:rsidRPr="009864AF">
              <w:rPr>
                <w:rFonts w:ascii="宋体" w:hAnsi="宋体" w:hint="eastAsia"/>
                <w:sz w:val="24"/>
              </w:rPr>
              <w:t>产业的特色，在海南打造商贸产业集、文化旅游集、田园综合体、城乡产业新城等系列特色小镇，形成共赢发展新局面；二是结合供销大集战略规划和</w:t>
            </w:r>
            <w:proofErr w:type="gramStart"/>
            <w:r w:rsidRPr="009864AF">
              <w:rPr>
                <w:rFonts w:ascii="宋体" w:hAnsi="宋体" w:hint="eastAsia"/>
                <w:sz w:val="24"/>
              </w:rPr>
              <w:t>海航全产业</w:t>
            </w:r>
            <w:proofErr w:type="gramEnd"/>
            <w:r w:rsidRPr="009864AF">
              <w:rPr>
                <w:rFonts w:ascii="宋体" w:hAnsi="宋体" w:hint="eastAsia"/>
                <w:sz w:val="24"/>
              </w:rPr>
              <w:t>链优势，优化调整产品结构，以“完善载体支撑功能，串联空、陆物流体系、酷铺、掌合天下、百货等商贸终端和金融配套产业”为目标，相应设计产品，重点发展以特色产品和商贸物流为主要业态的“产品集”，为各关联产业提供强有力的前端产品。</w:t>
            </w:r>
          </w:p>
          <w:p w:rsidR="009864AF" w:rsidRPr="009864AF" w:rsidRDefault="009864AF" w:rsidP="00BA067A">
            <w:pPr>
              <w:ind w:firstLineChars="200" w:firstLine="480"/>
              <w:rPr>
                <w:rFonts w:ascii="宋体" w:hAnsi="宋体"/>
                <w:sz w:val="24"/>
              </w:rPr>
            </w:pPr>
            <w:r w:rsidRPr="009864AF">
              <w:rPr>
                <w:rFonts w:ascii="宋体" w:hAnsi="宋体" w:hint="eastAsia"/>
                <w:sz w:val="24"/>
              </w:rPr>
              <w:t>通过“泾阳</w:t>
            </w:r>
            <w:proofErr w:type="gramStart"/>
            <w:r w:rsidRPr="009864AF">
              <w:rPr>
                <w:rFonts w:ascii="宋体" w:hAnsi="宋体" w:hint="eastAsia"/>
                <w:sz w:val="24"/>
              </w:rPr>
              <w:t>茯</w:t>
            </w:r>
            <w:proofErr w:type="gramEnd"/>
            <w:r w:rsidRPr="009864AF">
              <w:rPr>
                <w:rFonts w:ascii="宋体" w:hAnsi="宋体" w:hint="eastAsia"/>
                <w:sz w:val="24"/>
              </w:rPr>
              <w:t>茶集”、“新津农业集”、“查干湖渔业集”、“泰安文旅集”等一系列“产品集”的打造、当地特色产品研发，以及商贸物流产业园的建设，中国集将努力带动海航航空货运、冷链、仓储等物流产业协同发展，疏通产品流通渠道，并为酷铺、掌合天下线上线下销售提供优质货源，进一步激发</w:t>
            </w:r>
            <w:proofErr w:type="gramStart"/>
            <w:r w:rsidRPr="009864AF">
              <w:rPr>
                <w:rFonts w:ascii="宋体" w:hAnsi="宋体" w:hint="eastAsia"/>
                <w:sz w:val="24"/>
              </w:rPr>
              <w:t>海航全产业</w:t>
            </w:r>
            <w:proofErr w:type="gramEnd"/>
            <w:r w:rsidRPr="009864AF">
              <w:rPr>
                <w:rFonts w:ascii="宋体" w:hAnsi="宋体" w:hint="eastAsia"/>
                <w:sz w:val="24"/>
              </w:rPr>
              <w:t>链优势，为供销大集业务发展注入新的活力。</w:t>
            </w:r>
          </w:p>
          <w:p w:rsidR="009864AF" w:rsidRPr="009864AF" w:rsidRDefault="009864AF" w:rsidP="00BA067A">
            <w:pPr>
              <w:ind w:firstLineChars="200" w:firstLine="480"/>
              <w:rPr>
                <w:rFonts w:ascii="宋体" w:hAnsi="宋体"/>
                <w:sz w:val="24"/>
              </w:rPr>
            </w:pPr>
            <w:r w:rsidRPr="009864AF">
              <w:rPr>
                <w:rFonts w:ascii="宋体" w:hAnsi="宋体" w:hint="eastAsia"/>
                <w:sz w:val="24"/>
              </w:rPr>
              <w:t>中国集在快速推进重点项目网络化建设的同时，还将提升产业联盟素质和规模，促成各方深度合作，完善与项目开发需求相匹配的产业基金运营架构和运作秩序，加大中国</w:t>
            </w:r>
            <w:proofErr w:type="gramStart"/>
            <w:r w:rsidRPr="009864AF">
              <w:rPr>
                <w:rFonts w:ascii="宋体" w:hAnsi="宋体" w:hint="eastAsia"/>
                <w:sz w:val="24"/>
              </w:rPr>
              <w:t>集品牌</w:t>
            </w:r>
            <w:proofErr w:type="gramEnd"/>
            <w:r w:rsidRPr="009864AF">
              <w:rPr>
                <w:rFonts w:ascii="宋体" w:hAnsi="宋体" w:hint="eastAsia"/>
                <w:sz w:val="24"/>
              </w:rPr>
              <w:t>整合与推广力度，不断优化业务链条和商业模式。</w:t>
            </w:r>
          </w:p>
          <w:p w:rsidR="009864AF" w:rsidRPr="009864AF" w:rsidRDefault="009864AF" w:rsidP="00BA067A">
            <w:pPr>
              <w:ind w:firstLineChars="200" w:firstLine="480"/>
              <w:rPr>
                <w:rFonts w:ascii="宋体" w:hAnsi="宋体"/>
                <w:sz w:val="24"/>
              </w:rPr>
            </w:pPr>
            <w:r w:rsidRPr="009864AF">
              <w:rPr>
                <w:rFonts w:ascii="宋体" w:hAnsi="宋体"/>
                <w:sz w:val="24"/>
              </w:rPr>
              <w:t>2.</w:t>
            </w:r>
            <w:r w:rsidRPr="009864AF">
              <w:rPr>
                <w:rFonts w:ascii="宋体" w:hAnsi="宋体" w:hint="eastAsia"/>
                <w:sz w:val="24"/>
              </w:rPr>
              <w:t>加强业务整合协同，提升</w:t>
            </w:r>
            <w:proofErr w:type="gramStart"/>
            <w:r w:rsidRPr="009864AF">
              <w:rPr>
                <w:rFonts w:ascii="宋体" w:hAnsi="宋体" w:hint="eastAsia"/>
                <w:sz w:val="24"/>
              </w:rPr>
              <w:t>酷铺核心</w:t>
            </w:r>
            <w:proofErr w:type="gramEnd"/>
            <w:r w:rsidRPr="009864AF">
              <w:rPr>
                <w:rFonts w:ascii="宋体" w:hAnsi="宋体" w:hint="eastAsia"/>
                <w:sz w:val="24"/>
              </w:rPr>
              <w:t>竞争力</w:t>
            </w:r>
          </w:p>
          <w:p w:rsidR="009864AF" w:rsidRPr="009864AF" w:rsidRDefault="009864AF" w:rsidP="00BA067A">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年，供销大集</w:t>
            </w:r>
            <w:proofErr w:type="gramStart"/>
            <w:r w:rsidRPr="009864AF">
              <w:rPr>
                <w:rFonts w:ascii="宋体" w:hAnsi="宋体" w:hint="eastAsia"/>
                <w:sz w:val="24"/>
              </w:rPr>
              <w:t>将酷铺商贸</w:t>
            </w:r>
            <w:proofErr w:type="gramEnd"/>
            <w:r w:rsidRPr="009864AF">
              <w:rPr>
                <w:rFonts w:ascii="宋体" w:hAnsi="宋体" w:hint="eastAsia"/>
                <w:sz w:val="24"/>
              </w:rPr>
              <w:t>、掌合天下和大集供销</w:t>
            </w:r>
            <w:proofErr w:type="gramStart"/>
            <w:r w:rsidRPr="009864AF">
              <w:rPr>
                <w:rFonts w:ascii="宋体" w:hAnsi="宋体" w:hint="eastAsia"/>
                <w:sz w:val="24"/>
              </w:rPr>
              <w:t>链业务</w:t>
            </w:r>
            <w:proofErr w:type="gramEnd"/>
            <w:r w:rsidRPr="009864AF">
              <w:rPr>
                <w:rFonts w:ascii="宋体" w:hAnsi="宋体" w:hint="eastAsia"/>
                <w:sz w:val="24"/>
              </w:rPr>
              <w:t>合并成为新酷铺，以商流运营为核心，统一管理、统一政策、控制成本，打造新零售时代智慧、高效、无边界、全服务的销售场景。通过智能化的</w:t>
            </w:r>
            <w:proofErr w:type="gramStart"/>
            <w:r w:rsidRPr="009864AF">
              <w:rPr>
                <w:rFonts w:ascii="宋体" w:hAnsi="宋体" w:hint="eastAsia"/>
                <w:sz w:val="24"/>
              </w:rPr>
              <w:t>云仓供应链服务</w:t>
            </w:r>
            <w:proofErr w:type="gramEnd"/>
            <w:r w:rsidRPr="009864AF">
              <w:rPr>
                <w:rFonts w:ascii="宋体" w:hAnsi="宋体" w:hint="eastAsia"/>
                <w:sz w:val="24"/>
              </w:rPr>
              <w:t>平台，全产业链的大数据商流服务平台和供应</w:t>
            </w:r>
            <w:proofErr w:type="gramStart"/>
            <w:r w:rsidRPr="009864AF">
              <w:rPr>
                <w:rFonts w:ascii="宋体" w:hAnsi="宋体" w:hint="eastAsia"/>
                <w:sz w:val="24"/>
              </w:rPr>
              <w:t>链金融</w:t>
            </w:r>
            <w:proofErr w:type="gramEnd"/>
            <w:r w:rsidRPr="009864AF">
              <w:rPr>
                <w:rFonts w:ascii="宋体" w:hAnsi="宋体" w:hint="eastAsia"/>
                <w:sz w:val="24"/>
              </w:rPr>
              <w:t>服务平台，实现</w:t>
            </w:r>
            <w:proofErr w:type="gramStart"/>
            <w:r w:rsidRPr="009864AF">
              <w:rPr>
                <w:rFonts w:ascii="宋体" w:hAnsi="宋体" w:hint="eastAsia"/>
                <w:sz w:val="24"/>
              </w:rPr>
              <w:t>酷</w:t>
            </w:r>
            <w:proofErr w:type="gramEnd"/>
            <w:r w:rsidRPr="009864AF">
              <w:rPr>
                <w:rFonts w:ascii="宋体" w:hAnsi="宋体" w:hint="eastAsia"/>
                <w:sz w:val="24"/>
              </w:rPr>
              <w:t>铺在新零售时代的商流全产业链贯通及品牌落地。</w:t>
            </w:r>
          </w:p>
          <w:p w:rsidR="009864AF" w:rsidRPr="009864AF" w:rsidRDefault="009864AF" w:rsidP="00BA067A">
            <w:pPr>
              <w:ind w:firstLineChars="200" w:firstLine="480"/>
              <w:rPr>
                <w:rFonts w:ascii="宋体" w:hAnsi="宋体"/>
                <w:sz w:val="24"/>
              </w:rPr>
            </w:pPr>
            <w:r w:rsidRPr="009864AF">
              <w:rPr>
                <w:rFonts w:ascii="宋体" w:hAnsi="宋体" w:hint="eastAsia"/>
                <w:sz w:val="24"/>
              </w:rPr>
              <w:lastRenderedPageBreak/>
              <w:t>①酷铺店业务</w:t>
            </w:r>
          </w:p>
          <w:p w:rsidR="009864AF" w:rsidRPr="009864AF" w:rsidRDefault="009864AF" w:rsidP="00BA067A">
            <w:pPr>
              <w:ind w:firstLineChars="200" w:firstLine="480"/>
              <w:rPr>
                <w:rFonts w:ascii="宋体" w:hAnsi="宋体"/>
                <w:sz w:val="24"/>
              </w:rPr>
            </w:pPr>
            <w:proofErr w:type="gramStart"/>
            <w:r w:rsidRPr="009864AF">
              <w:rPr>
                <w:rFonts w:ascii="宋体" w:hAnsi="宋体" w:hint="eastAsia"/>
                <w:sz w:val="24"/>
              </w:rPr>
              <w:t>酷</w:t>
            </w:r>
            <w:proofErr w:type="gramEnd"/>
            <w:r w:rsidRPr="009864AF">
              <w:rPr>
                <w:rFonts w:ascii="宋体" w:hAnsi="宋体" w:hint="eastAsia"/>
                <w:sz w:val="24"/>
              </w:rPr>
              <w:t>铺店业务以“公司直营</w:t>
            </w:r>
            <w:r w:rsidRPr="009864AF">
              <w:rPr>
                <w:rFonts w:ascii="宋体" w:hAnsi="宋体"/>
                <w:sz w:val="24"/>
              </w:rPr>
              <w:t>+</w:t>
            </w:r>
            <w:r w:rsidRPr="009864AF">
              <w:rPr>
                <w:rFonts w:ascii="宋体" w:hAnsi="宋体" w:hint="eastAsia"/>
                <w:sz w:val="24"/>
              </w:rPr>
              <w:t>子公司合伙人</w:t>
            </w:r>
            <w:r w:rsidRPr="009864AF">
              <w:rPr>
                <w:rFonts w:ascii="宋体" w:hAnsi="宋体"/>
                <w:sz w:val="24"/>
              </w:rPr>
              <w:t>+</w:t>
            </w:r>
            <w:r w:rsidRPr="009864AF">
              <w:rPr>
                <w:rFonts w:ascii="宋体" w:hAnsi="宋体" w:hint="eastAsia"/>
                <w:sz w:val="24"/>
              </w:rPr>
              <w:t>授权合伙人”三种模式快速抢占区域零售终端市场，加大合伙经营、承包经营改革力度，加强商品集采，以大数据驱动门店业态创新，提高营运品质及顾客服务体验，计划拓展</w:t>
            </w:r>
            <w:proofErr w:type="gramStart"/>
            <w:r w:rsidRPr="009864AF">
              <w:rPr>
                <w:rFonts w:ascii="宋体" w:hAnsi="宋体" w:hint="eastAsia"/>
                <w:sz w:val="24"/>
              </w:rPr>
              <w:t>酷铺形象店</w:t>
            </w:r>
            <w:proofErr w:type="gramEnd"/>
            <w:r w:rsidRPr="009864AF">
              <w:rPr>
                <w:rFonts w:ascii="宋体" w:hAnsi="宋体"/>
                <w:sz w:val="24"/>
              </w:rPr>
              <w:t>2000</w:t>
            </w:r>
            <w:r w:rsidRPr="009864AF">
              <w:rPr>
                <w:rFonts w:ascii="宋体" w:hAnsi="宋体" w:hint="eastAsia"/>
                <w:sz w:val="24"/>
              </w:rPr>
              <w:t>家，打造标准品牌形象门店及新零售智慧体验店，试点</w:t>
            </w:r>
            <w:r w:rsidRPr="009864AF">
              <w:rPr>
                <w:rFonts w:ascii="宋体" w:hAnsi="宋体"/>
                <w:sz w:val="24"/>
              </w:rPr>
              <w:t>2</w:t>
            </w:r>
            <w:r w:rsidRPr="009864AF">
              <w:rPr>
                <w:rFonts w:ascii="宋体" w:hAnsi="宋体" w:hint="eastAsia"/>
                <w:sz w:val="24"/>
              </w:rPr>
              <w:t>家大卖场生鲜集市，加大在海南省业务布局，在著名景点以及重点商业街投放</w:t>
            </w:r>
            <w:proofErr w:type="gramStart"/>
            <w:r w:rsidRPr="009864AF">
              <w:rPr>
                <w:rFonts w:ascii="宋体" w:hAnsi="宋体" w:hint="eastAsia"/>
                <w:sz w:val="24"/>
              </w:rPr>
              <w:t>酷</w:t>
            </w:r>
            <w:proofErr w:type="gramEnd"/>
            <w:r w:rsidRPr="009864AF">
              <w:rPr>
                <w:rFonts w:ascii="宋体" w:hAnsi="宋体" w:hint="eastAsia"/>
                <w:sz w:val="24"/>
              </w:rPr>
              <w:t>铺门店。</w:t>
            </w:r>
          </w:p>
          <w:p w:rsidR="009864AF" w:rsidRPr="009864AF" w:rsidRDefault="009864AF" w:rsidP="00BA067A">
            <w:pPr>
              <w:ind w:firstLineChars="200" w:firstLine="480"/>
              <w:rPr>
                <w:rFonts w:ascii="宋体" w:hAnsi="宋体"/>
                <w:sz w:val="24"/>
              </w:rPr>
            </w:pPr>
            <w:r w:rsidRPr="009864AF">
              <w:rPr>
                <w:rFonts w:ascii="宋体" w:hAnsi="宋体" w:hint="eastAsia"/>
                <w:sz w:val="24"/>
              </w:rPr>
              <w:t>②</w:t>
            </w:r>
            <w:proofErr w:type="gramStart"/>
            <w:r w:rsidRPr="009864AF">
              <w:rPr>
                <w:rFonts w:ascii="宋体" w:hAnsi="宋体" w:hint="eastAsia"/>
                <w:sz w:val="24"/>
              </w:rPr>
              <w:t>供销云仓业务</w:t>
            </w:r>
            <w:proofErr w:type="gramEnd"/>
          </w:p>
          <w:p w:rsidR="009864AF" w:rsidRPr="009864AF" w:rsidRDefault="009864AF" w:rsidP="00BA067A">
            <w:pPr>
              <w:ind w:firstLineChars="200" w:firstLine="480"/>
              <w:rPr>
                <w:rFonts w:ascii="宋体" w:hAnsi="宋体"/>
                <w:sz w:val="24"/>
              </w:rPr>
            </w:pPr>
            <w:proofErr w:type="gramStart"/>
            <w:r w:rsidRPr="009864AF">
              <w:rPr>
                <w:rFonts w:ascii="宋体" w:hAnsi="宋体" w:hint="eastAsia"/>
                <w:sz w:val="24"/>
              </w:rPr>
              <w:t>供销云仓为</w:t>
            </w:r>
            <w:proofErr w:type="gramEnd"/>
            <w:r w:rsidRPr="009864AF">
              <w:rPr>
                <w:rFonts w:ascii="宋体" w:hAnsi="宋体" w:hint="eastAsia"/>
                <w:sz w:val="24"/>
              </w:rPr>
              <w:t>酷铺店在区域提供</w:t>
            </w:r>
            <w:proofErr w:type="gramStart"/>
            <w:r w:rsidRPr="009864AF">
              <w:rPr>
                <w:rFonts w:ascii="宋体" w:hAnsi="宋体" w:hint="eastAsia"/>
                <w:sz w:val="24"/>
              </w:rPr>
              <w:t>统仓</w:t>
            </w:r>
            <w:proofErr w:type="gramEnd"/>
            <w:r w:rsidRPr="009864AF">
              <w:rPr>
                <w:rFonts w:ascii="宋体" w:hAnsi="宋体" w:hint="eastAsia"/>
                <w:sz w:val="24"/>
              </w:rPr>
              <w:t>统配、集约高效、智能化的供应</w:t>
            </w:r>
            <w:proofErr w:type="gramStart"/>
            <w:r w:rsidRPr="009864AF">
              <w:rPr>
                <w:rFonts w:ascii="宋体" w:hAnsi="宋体" w:hint="eastAsia"/>
                <w:sz w:val="24"/>
              </w:rPr>
              <w:t>链解决</w:t>
            </w:r>
            <w:proofErr w:type="gramEnd"/>
            <w:r w:rsidRPr="009864AF">
              <w:rPr>
                <w:rFonts w:ascii="宋体" w:hAnsi="宋体" w:hint="eastAsia"/>
                <w:sz w:val="24"/>
              </w:rPr>
              <w:t>方案，计划完成</w:t>
            </w:r>
            <w:r w:rsidRPr="009864AF">
              <w:rPr>
                <w:rFonts w:ascii="宋体" w:hAnsi="宋体"/>
                <w:sz w:val="24"/>
              </w:rPr>
              <w:t>70</w:t>
            </w:r>
            <w:r w:rsidRPr="009864AF">
              <w:rPr>
                <w:rFonts w:ascii="宋体" w:hAnsi="宋体" w:hint="eastAsia"/>
                <w:sz w:val="24"/>
              </w:rPr>
              <w:t>个</w:t>
            </w:r>
            <w:proofErr w:type="gramStart"/>
            <w:r w:rsidRPr="009864AF">
              <w:rPr>
                <w:rFonts w:ascii="宋体" w:hAnsi="宋体" w:hint="eastAsia"/>
                <w:sz w:val="24"/>
              </w:rPr>
              <w:t>云仓建设</w:t>
            </w:r>
            <w:proofErr w:type="gramEnd"/>
            <w:r w:rsidRPr="009864AF">
              <w:rPr>
                <w:rFonts w:ascii="宋体" w:hAnsi="宋体" w:hint="eastAsia"/>
                <w:sz w:val="24"/>
              </w:rPr>
              <w:t>和布局，构建</w:t>
            </w:r>
            <w:proofErr w:type="gramStart"/>
            <w:r w:rsidRPr="009864AF">
              <w:rPr>
                <w:rFonts w:ascii="宋体" w:hAnsi="宋体" w:hint="eastAsia"/>
                <w:sz w:val="24"/>
              </w:rPr>
              <w:t>新酷铺物流</w:t>
            </w:r>
            <w:proofErr w:type="gramEnd"/>
            <w:r w:rsidRPr="009864AF">
              <w:rPr>
                <w:rFonts w:ascii="宋体" w:hAnsi="宋体" w:hint="eastAsia"/>
                <w:sz w:val="24"/>
              </w:rPr>
              <w:t>毛细血管网络。</w:t>
            </w:r>
          </w:p>
          <w:p w:rsidR="009864AF" w:rsidRPr="009864AF" w:rsidRDefault="009864AF" w:rsidP="00BA067A">
            <w:pPr>
              <w:ind w:firstLineChars="200" w:firstLine="480"/>
              <w:rPr>
                <w:rFonts w:ascii="宋体" w:hAnsi="宋体"/>
                <w:sz w:val="24"/>
              </w:rPr>
            </w:pPr>
            <w:r w:rsidRPr="009864AF">
              <w:rPr>
                <w:rFonts w:ascii="宋体" w:hAnsi="宋体" w:hint="eastAsia"/>
                <w:sz w:val="24"/>
              </w:rPr>
              <w:t>③酷铺网业务</w:t>
            </w:r>
          </w:p>
          <w:p w:rsidR="009864AF" w:rsidRPr="009864AF" w:rsidRDefault="009864AF" w:rsidP="00BA067A">
            <w:pPr>
              <w:ind w:firstLineChars="200" w:firstLine="480"/>
              <w:rPr>
                <w:rFonts w:ascii="宋体" w:hAnsi="宋体"/>
                <w:sz w:val="24"/>
              </w:rPr>
            </w:pPr>
            <w:proofErr w:type="gramStart"/>
            <w:r w:rsidRPr="009864AF">
              <w:rPr>
                <w:rFonts w:ascii="宋体" w:hAnsi="宋体" w:hint="eastAsia"/>
                <w:sz w:val="24"/>
              </w:rPr>
              <w:t>酷</w:t>
            </w:r>
            <w:proofErr w:type="gramEnd"/>
            <w:r w:rsidRPr="009864AF">
              <w:rPr>
                <w:rFonts w:ascii="宋体" w:hAnsi="宋体" w:hint="eastAsia"/>
                <w:sz w:val="24"/>
              </w:rPr>
              <w:t>铺网业务依托独创的“城市合伙人”模式、先进的互联网研发技术和专业的</w:t>
            </w:r>
            <w:proofErr w:type="gramStart"/>
            <w:r w:rsidRPr="009864AF">
              <w:rPr>
                <w:rFonts w:ascii="宋体" w:hAnsi="宋体" w:hint="eastAsia"/>
                <w:sz w:val="24"/>
              </w:rPr>
              <w:t>快消品</w:t>
            </w:r>
            <w:proofErr w:type="gramEnd"/>
            <w:r w:rsidRPr="009864AF">
              <w:rPr>
                <w:rFonts w:ascii="宋体" w:hAnsi="宋体" w:hint="eastAsia"/>
                <w:sz w:val="24"/>
              </w:rPr>
              <w:t>平台运营经验，为平台会员提供安全、高效、便捷的一站式</w:t>
            </w:r>
            <w:r w:rsidRPr="009864AF">
              <w:rPr>
                <w:rFonts w:ascii="宋体" w:hAnsi="宋体"/>
                <w:sz w:val="24"/>
              </w:rPr>
              <w:t>B2B</w:t>
            </w:r>
            <w:r w:rsidRPr="009864AF">
              <w:rPr>
                <w:rFonts w:ascii="宋体" w:hAnsi="宋体" w:hint="eastAsia"/>
                <w:sz w:val="24"/>
              </w:rPr>
              <w:t>平台综合服务，计划实现认证超市</w:t>
            </w:r>
            <w:r w:rsidRPr="009864AF">
              <w:rPr>
                <w:rFonts w:ascii="宋体" w:hAnsi="宋体"/>
                <w:sz w:val="24"/>
              </w:rPr>
              <w:t>10</w:t>
            </w:r>
            <w:r w:rsidRPr="009864AF">
              <w:rPr>
                <w:rFonts w:ascii="宋体" w:hAnsi="宋体" w:hint="eastAsia"/>
                <w:sz w:val="24"/>
              </w:rPr>
              <w:t>万家。</w:t>
            </w:r>
          </w:p>
          <w:p w:rsidR="009864AF" w:rsidRPr="009864AF" w:rsidRDefault="009864AF" w:rsidP="00BA067A">
            <w:pPr>
              <w:ind w:firstLineChars="200" w:firstLine="480"/>
              <w:rPr>
                <w:rFonts w:ascii="宋体" w:hAnsi="宋体"/>
                <w:sz w:val="24"/>
              </w:rPr>
            </w:pPr>
            <w:r w:rsidRPr="009864AF">
              <w:rPr>
                <w:rFonts w:ascii="宋体" w:hAnsi="宋体" w:hint="eastAsia"/>
                <w:sz w:val="24"/>
              </w:rPr>
              <w:t>④</w:t>
            </w:r>
            <w:proofErr w:type="gramStart"/>
            <w:r w:rsidRPr="009864AF">
              <w:rPr>
                <w:rFonts w:ascii="宋体" w:hAnsi="宋体" w:hint="eastAsia"/>
                <w:sz w:val="24"/>
              </w:rPr>
              <w:t>酷铺商贸</w:t>
            </w:r>
            <w:proofErr w:type="gramEnd"/>
            <w:r w:rsidRPr="009864AF">
              <w:rPr>
                <w:rFonts w:ascii="宋体" w:hAnsi="宋体" w:hint="eastAsia"/>
                <w:sz w:val="24"/>
              </w:rPr>
              <w:t>业务</w:t>
            </w:r>
          </w:p>
          <w:p w:rsidR="009864AF" w:rsidRPr="009864AF" w:rsidRDefault="009864AF" w:rsidP="00BA067A">
            <w:pPr>
              <w:ind w:firstLineChars="200" w:firstLine="480"/>
              <w:rPr>
                <w:rFonts w:ascii="宋体" w:hAnsi="宋体"/>
                <w:sz w:val="24"/>
              </w:rPr>
            </w:pPr>
            <w:proofErr w:type="gramStart"/>
            <w:r w:rsidRPr="009864AF">
              <w:rPr>
                <w:rFonts w:ascii="宋体" w:hAnsi="宋体" w:hint="eastAsia"/>
                <w:sz w:val="24"/>
              </w:rPr>
              <w:t>酷铺商贸</w:t>
            </w:r>
            <w:proofErr w:type="gramEnd"/>
            <w:r w:rsidRPr="009864AF">
              <w:rPr>
                <w:rFonts w:ascii="宋体" w:hAnsi="宋体" w:hint="eastAsia"/>
                <w:sz w:val="24"/>
              </w:rPr>
              <w:t>业务以平台为基础，资金为支撑，品牌为后盾，开展商品渠道资源整合，积极开展批发与贸易业务，结合大宗商品市场机遇，做深做</w:t>
            </w:r>
            <w:proofErr w:type="gramStart"/>
            <w:r w:rsidRPr="009864AF">
              <w:rPr>
                <w:rFonts w:ascii="宋体" w:hAnsi="宋体" w:hint="eastAsia"/>
                <w:sz w:val="24"/>
              </w:rPr>
              <w:t>透产业</w:t>
            </w:r>
            <w:proofErr w:type="gramEnd"/>
            <w:r w:rsidRPr="009864AF">
              <w:rPr>
                <w:rFonts w:ascii="宋体" w:hAnsi="宋体" w:hint="eastAsia"/>
                <w:sz w:val="24"/>
              </w:rPr>
              <w:t>链，做大业务规模，拓宽并完善城乡商品贸易上下行供应链渠道，实现城乡商品贸易流通价值共享。</w:t>
            </w:r>
          </w:p>
          <w:p w:rsidR="009864AF" w:rsidRPr="009864AF" w:rsidRDefault="009864AF" w:rsidP="00BA067A">
            <w:pPr>
              <w:ind w:firstLineChars="200" w:firstLine="480"/>
              <w:rPr>
                <w:rFonts w:ascii="宋体" w:hAnsi="宋体"/>
                <w:sz w:val="24"/>
              </w:rPr>
            </w:pPr>
            <w:r w:rsidRPr="009864AF">
              <w:rPr>
                <w:rFonts w:ascii="宋体" w:hAnsi="宋体" w:hint="eastAsia"/>
                <w:sz w:val="24"/>
              </w:rPr>
              <w:t>⑤打造科技酷铺</w:t>
            </w:r>
          </w:p>
          <w:p w:rsidR="009864AF" w:rsidRPr="009864AF" w:rsidRDefault="009864AF" w:rsidP="00BA067A">
            <w:pPr>
              <w:ind w:firstLineChars="200" w:firstLine="480"/>
              <w:rPr>
                <w:rFonts w:ascii="宋体" w:hAnsi="宋体"/>
                <w:sz w:val="24"/>
              </w:rPr>
            </w:pPr>
            <w:r w:rsidRPr="009864AF">
              <w:rPr>
                <w:rFonts w:ascii="宋体" w:hAnsi="宋体" w:hint="eastAsia"/>
                <w:sz w:val="24"/>
              </w:rPr>
              <w:t>持续完善</w:t>
            </w:r>
            <w:r w:rsidRPr="009864AF">
              <w:rPr>
                <w:rFonts w:ascii="宋体" w:hAnsi="宋体"/>
                <w:sz w:val="24"/>
              </w:rPr>
              <w:t>CRM</w:t>
            </w:r>
            <w:r w:rsidRPr="009864AF">
              <w:rPr>
                <w:rFonts w:ascii="宋体" w:hAnsi="宋体" w:hint="eastAsia"/>
                <w:sz w:val="24"/>
              </w:rPr>
              <w:t>、</w:t>
            </w:r>
            <w:r w:rsidRPr="009864AF">
              <w:rPr>
                <w:rFonts w:ascii="宋体" w:hAnsi="宋体"/>
                <w:sz w:val="24"/>
              </w:rPr>
              <w:t>ERP</w:t>
            </w:r>
            <w:r w:rsidRPr="009864AF">
              <w:rPr>
                <w:rFonts w:ascii="宋体" w:hAnsi="宋体" w:hint="eastAsia"/>
                <w:sz w:val="24"/>
              </w:rPr>
              <w:t>、</w:t>
            </w:r>
            <w:r w:rsidRPr="009864AF">
              <w:rPr>
                <w:rFonts w:ascii="宋体" w:hAnsi="宋体"/>
                <w:sz w:val="24"/>
              </w:rPr>
              <w:t>B2B</w:t>
            </w:r>
            <w:r w:rsidRPr="009864AF">
              <w:rPr>
                <w:rFonts w:ascii="宋体" w:hAnsi="宋体" w:hint="eastAsia"/>
                <w:sz w:val="24"/>
              </w:rPr>
              <w:t>、</w:t>
            </w:r>
            <w:r w:rsidRPr="009864AF">
              <w:rPr>
                <w:rFonts w:ascii="宋体" w:hAnsi="宋体"/>
                <w:sz w:val="24"/>
              </w:rPr>
              <w:t>WMS</w:t>
            </w:r>
            <w:r w:rsidRPr="009864AF">
              <w:rPr>
                <w:rFonts w:ascii="宋体" w:hAnsi="宋体" w:hint="eastAsia"/>
                <w:sz w:val="24"/>
              </w:rPr>
              <w:t>、</w:t>
            </w:r>
            <w:r w:rsidRPr="009864AF">
              <w:rPr>
                <w:rFonts w:ascii="宋体" w:hAnsi="宋体"/>
                <w:sz w:val="24"/>
              </w:rPr>
              <w:t>O2O</w:t>
            </w:r>
            <w:r w:rsidRPr="009864AF">
              <w:rPr>
                <w:rFonts w:ascii="宋体" w:hAnsi="宋体" w:hint="eastAsia"/>
                <w:sz w:val="24"/>
              </w:rPr>
              <w:t>系统功能并上线推广，打造智慧零售服务平台，计划推广</w:t>
            </w:r>
            <w:r w:rsidRPr="009864AF">
              <w:rPr>
                <w:rFonts w:ascii="宋体" w:hAnsi="宋体"/>
                <w:sz w:val="24"/>
              </w:rPr>
              <w:t>ERP</w:t>
            </w:r>
            <w:r w:rsidRPr="009864AF">
              <w:rPr>
                <w:rFonts w:ascii="宋体" w:hAnsi="宋体" w:hint="eastAsia"/>
                <w:sz w:val="24"/>
              </w:rPr>
              <w:t>使用门店</w:t>
            </w:r>
            <w:r w:rsidRPr="009864AF">
              <w:rPr>
                <w:rFonts w:ascii="宋体" w:hAnsi="宋体"/>
                <w:sz w:val="24"/>
              </w:rPr>
              <w:t>1000</w:t>
            </w:r>
            <w:r w:rsidRPr="009864AF">
              <w:rPr>
                <w:rFonts w:ascii="宋体" w:hAnsi="宋体" w:hint="eastAsia"/>
                <w:sz w:val="24"/>
              </w:rPr>
              <w:t>家，</w:t>
            </w:r>
            <w:r w:rsidRPr="009864AF">
              <w:rPr>
                <w:rFonts w:ascii="宋体" w:hAnsi="宋体"/>
                <w:sz w:val="24"/>
              </w:rPr>
              <w:t>WMS</w:t>
            </w:r>
            <w:r w:rsidRPr="009864AF">
              <w:rPr>
                <w:rFonts w:ascii="宋体" w:hAnsi="宋体" w:hint="eastAsia"/>
                <w:sz w:val="24"/>
              </w:rPr>
              <w:t>仓储</w:t>
            </w:r>
            <w:r w:rsidRPr="009864AF">
              <w:rPr>
                <w:rFonts w:ascii="宋体" w:hAnsi="宋体"/>
                <w:sz w:val="24"/>
              </w:rPr>
              <w:t>20</w:t>
            </w:r>
            <w:r w:rsidRPr="009864AF">
              <w:rPr>
                <w:rFonts w:ascii="宋体" w:hAnsi="宋体" w:hint="eastAsia"/>
                <w:sz w:val="24"/>
              </w:rPr>
              <w:t>家，</w:t>
            </w:r>
            <w:r w:rsidRPr="009864AF">
              <w:rPr>
                <w:rFonts w:ascii="宋体" w:hAnsi="宋体"/>
                <w:sz w:val="24"/>
              </w:rPr>
              <w:t>O2O</w:t>
            </w:r>
            <w:r w:rsidRPr="009864AF">
              <w:rPr>
                <w:rFonts w:ascii="宋体" w:hAnsi="宋体" w:hint="eastAsia"/>
                <w:sz w:val="24"/>
              </w:rPr>
              <w:t>门店</w:t>
            </w:r>
            <w:r w:rsidRPr="009864AF">
              <w:rPr>
                <w:rFonts w:ascii="宋体" w:hAnsi="宋体"/>
                <w:sz w:val="24"/>
              </w:rPr>
              <w:t>100</w:t>
            </w:r>
            <w:r w:rsidRPr="009864AF">
              <w:rPr>
                <w:rFonts w:ascii="宋体" w:hAnsi="宋体" w:hint="eastAsia"/>
                <w:sz w:val="24"/>
              </w:rPr>
              <w:t>家，线上线下</w:t>
            </w:r>
            <w:proofErr w:type="gramStart"/>
            <w:r w:rsidRPr="009864AF">
              <w:rPr>
                <w:rFonts w:ascii="宋体" w:hAnsi="宋体" w:hint="eastAsia"/>
                <w:sz w:val="24"/>
              </w:rPr>
              <w:t>全渠道</w:t>
            </w:r>
            <w:proofErr w:type="gramEnd"/>
            <w:r w:rsidRPr="009864AF">
              <w:rPr>
                <w:rFonts w:ascii="宋体" w:hAnsi="宋体" w:hint="eastAsia"/>
                <w:sz w:val="24"/>
              </w:rPr>
              <w:t>会员达</w:t>
            </w:r>
            <w:r w:rsidRPr="009864AF">
              <w:rPr>
                <w:rFonts w:ascii="宋体" w:hAnsi="宋体"/>
                <w:sz w:val="24"/>
              </w:rPr>
              <w:t>500</w:t>
            </w:r>
            <w:r w:rsidRPr="009864AF">
              <w:rPr>
                <w:rFonts w:ascii="宋体" w:hAnsi="宋体" w:hint="eastAsia"/>
                <w:sz w:val="24"/>
              </w:rPr>
              <w:t>万人。同时，计划投放自助货架</w:t>
            </w:r>
            <w:r w:rsidRPr="009864AF">
              <w:rPr>
                <w:rFonts w:ascii="宋体" w:hAnsi="宋体"/>
                <w:sz w:val="24"/>
              </w:rPr>
              <w:t>1000</w:t>
            </w:r>
            <w:r w:rsidRPr="009864AF">
              <w:rPr>
                <w:rFonts w:ascii="宋体" w:hAnsi="宋体" w:hint="eastAsia"/>
                <w:sz w:val="24"/>
              </w:rPr>
              <w:t>个，积极推进</w:t>
            </w:r>
            <w:r w:rsidRPr="009864AF">
              <w:rPr>
                <w:rFonts w:ascii="宋体" w:hAnsi="宋体"/>
                <w:sz w:val="24"/>
              </w:rPr>
              <w:t>RFID</w:t>
            </w:r>
            <w:r w:rsidRPr="009864AF">
              <w:rPr>
                <w:rFonts w:ascii="宋体" w:hAnsi="宋体" w:hint="eastAsia"/>
                <w:sz w:val="24"/>
              </w:rPr>
              <w:t>技术、电子价签、自助收银等新科技投入使用，打造新零售科技体验店。</w:t>
            </w:r>
          </w:p>
          <w:p w:rsidR="009864AF" w:rsidRPr="009864AF" w:rsidRDefault="009864AF" w:rsidP="00BA067A">
            <w:pPr>
              <w:ind w:firstLineChars="200" w:firstLine="480"/>
              <w:rPr>
                <w:rFonts w:ascii="宋体" w:hAnsi="宋体"/>
                <w:sz w:val="24"/>
              </w:rPr>
            </w:pPr>
            <w:r w:rsidRPr="009864AF">
              <w:rPr>
                <w:rFonts w:ascii="宋体" w:hAnsi="宋体"/>
                <w:sz w:val="24"/>
              </w:rPr>
              <w:t>3.</w:t>
            </w:r>
            <w:r w:rsidRPr="009864AF">
              <w:rPr>
                <w:rFonts w:ascii="宋体" w:hAnsi="宋体" w:hint="eastAsia"/>
                <w:sz w:val="24"/>
              </w:rPr>
              <w:t>加快金融服务平台建设</w:t>
            </w:r>
          </w:p>
          <w:p w:rsidR="009864AF" w:rsidRPr="009864AF" w:rsidRDefault="009864AF" w:rsidP="00BA067A">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w:t>
            </w:r>
            <w:proofErr w:type="gramStart"/>
            <w:r w:rsidRPr="009864AF">
              <w:rPr>
                <w:rFonts w:ascii="宋体" w:hAnsi="宋体" w:hint="eastAsia"/>
                <w:sz w:val="24"/>
              </w:rPr>
              <w:t>大集金服将</w:t>
            </w:r>
            <w:proofErr w:type="gramEnd"/>
            <w:r w:rsidRPr="009864AF">
              <w:rPr>
                <w:rFonts w:ascii="宋体" w:hAnsi="宋体" w:hint="eastAsia"/>
                <w:sz w:val="24"/>
              </w:rPr>
              <w:t>通过多渠道合作，深耕供销大集核心商圈及核心企业，整合供应</w:t>
            </w:r>
            <w:proofErr w:type="gramStart"/>
            <w:r w:rsidRPr="009864AF">
              <w:rPr>
                <w:rFonts w:ascii="宋体" w:hAnsi="宋体" w:hint="eastAsia"/>
                <w:sz w:val="24"/>
              </w:rPr>
              <w:t>链金融</w:t>
            </w:r>
            <w:proofErr w:type="gramEnd"/>
            <w:r w:rsidRPr="009864AF">
              <w:rPr>
                <w:rFonts w:ascii="宋体" w:hAnsi="宋体" w:hint="eastAsia"/>
                <w:sz w:val="24"/>
              </w:rPr>
              <w:t>需求</w:t>
            </w:r>
            <w:proofErr w:type="gramStart"/>
            <w:r w:rsidRPr="009864AF">
              <w:rPr>
                <w:rFonts w:ascii="宋体" w:hAnsi="宋体" w:hint="eastAsia"/>
                <w:sz w:val="24"/>
              </w:rPr>
              <w:t>践行</w:t>
            </w:r>
            <w:proofErr w:type="gramEnd"/>
            <w:r w:rsidRPr="009864AF">
              <w:rPr>
                <w:rFonts w:ascii="宋体" w:hAnsi="宋体" w:hint="eastAsia"/>
                <w:sz w:val="24"/>
              </w:rPr>
              <w:t>国家“普惠金融”战略，通过在北京、上海、广州、深圳、重庆、西安设立分（子）机构，完成各类金融业务国内布局，加快互联网金融平台的科技投入，实现会员及撮合交易规模的快速增长，为上千户供应</w:t>
            </w:r>
            <w:proofErr w:type="gramStart"/>
            <w:r w:rsidRPr="009864AF">
              <w:rPr>
                <w:rFonts w:ascii="宋体" w:hAnsi="宋体" w:hint="eastAsia"/>
                <w:sz w:val="24"/>
              </w:rPr>
              <w:t>链核心</w:t>
            </w:r>
            <w:proofErr w:type="gramEnd"/>
            <w:r w:rsidRPr="009864AF">
              <w:rPr>
                <w:rFonts w:ascii="宋体" w:hAnsi="宋体" w:hint="eastAsia"/>
                <w:sz w:val="24"/>
              </w:rPr>
              <w:t>商户提供信贷服务。</w:t>
            </w:r>
            <w:r w:rsidRPr="009864AF">
              <w:rPr>
                <w:rFonts w:ascii="宋体" w:hAnsi="宋体"/>
                <w:sz w:val="24"/>
              </w:rPr>
              <w:t>2018</w:t>
            </w:r>
            <w:r w:rsidRPr="009864AF">
              <w:rPr>
                <w:rFonts w:ascii="宋体" w:hAnsi="宋体" w:hint="eastAsia"/>
                <w:sz w:val="24"/>
              </w:rPr>
              <w:t>年在巩固现有国内供应</w:t>
            </w:r>
            <w:proofErr w:type="gramStart"/>
            <w:r w:rsidRPr="009864AF">
              <w:rPr>
                <w:rFonts w:ascii="宋体" w:hAnsi="宋体" w:hint="eastAsia"/>
                <w:sz w:val="24"/>
              </w:rPr>
              <w:t>链金融</w:t>
            </w:r>
            <w:proofErr w:type="gramEnd"/>
            <w:r w:rsidRPr="009864AF">
              <w:rPr>
                <w:rFonts w:ascii="宋体" w:hAnsi="宋体" w:hint="eastAsia"/>
                <w:sz w:val="24"/>
              </w:rPr>
              <w:t>业务的基础上，扩宽供应</w:t>
            </w:r>
            <w:proofErr w:type="gramStart"/>
            <w:r w:rsidRPr="009864AF">
              <w:rPr>
                <w:rFonts w:ascii="宋体" w:hAnsi="宋体" w:hint="eastAsia"/>
                <w:sz w:val="24"/>
              </w:rPr>
              <w:t>链金融</w:t>
            </w:r>
            <w:proofErr w:type="gramEnd"/>
            <w:r w:rsidRPr="009864AF">
              <w:rPr>
                <w:rFonts w:ascii="宋体" w:hAnsi="宋体" w:hint="eastAsia"/>
                <w:sz w:val="24"/>
              </w:rPr>
              <w:t>业务合作范围及领域，同时建立业务联动机制，与供销大集各专业平台公司之间共享渠道、客户、人才和资源，初步实现业务来源稳定，资金来源稳定，稳步提升利润增长空间。</w:t>
            </w:r>
          </w:p>
          <w:p w:rsidR="009864AF" w:rsidRPr="009864AF" w:rsidRDefault="009864AF" w:rsidP="00BA067A">
            <w:pPr>
              <w:ind w:firstLineChars="200" w:firstLine="480"/>
              <w:rPr>
                <w:rFonts w:ascii="宋体" w:hAnsi="宋体"/>
                <w:sz w:val="24"/>
              </w:rPr>
            </w:pPr>
            <w:r w:rsidRPr="009864AF">
              <w:rPr>
                <w:rFonts w:ascii="宋体" w:hAnsi="宋体"/>
                <w:sz w:val="24"/>
              </w:rPr>
              <w:t>4.</w:t>
            </w:r>
            <w:r w:rsidRPr="009864AF">
              <w:rPr>
                <w:rFonts w:ascii="宋体" w:hAnsi="宋体" w:hint="eastAsia"/>
                <w:sz w:val="24"/>
              </w:rPr>
              <w:t>深化百货业务管理变革</w:t>
            </w:r>
          </w:p>
          <w:p w:rsidR="009864AF" w:rsidRDefault="009864AF" w:rsidP="00BA067A">
            <w:pPr>
              <w:ind w:firstLineChars="200" w:firstLine="480"/>
              <w:rPr>
                <w:rFonts w:ascii="宋体" w:hAnsi="宋体"/>
                <w:sz w:val="24"/>
              </w:rPr>
            </w:pPr>
            <w:r w:rsidRPr="009864AF">
              <w:rPr>
                <w:rFonts w:ascii="宋体" w:hAnsi="宋体"/>
                <w:sz w:val="24"/>
              </w:rPr>
              <w:t>2018</w:t>
            </w:r>
            <w:r w:rsidRPr="009864AF">
              <w:rPr>
                <w:rFonts w:ascii="宋体" w:hAnsi="宋体" w:hint="eastAsia"/>
                <w:sz w:val="24"/>
              </w:rPr>
              <w:t>年，零售业将迎来发展创新的新时代，竞争格局变化的新阶段，新零售的探索和发展成果的新突破，在新环境下</w:t>
            </w:r>
            <w:r w:rsidRPr="009864AF">
              <w:rPr>
                <w:rFonts w:ascii="宋体" w:hAnsi="宋体" w:hint="eastAsia"/>
                <w:sz w:val="24"/>
              </w:rPr>
              <w:lastRenderedPageBreak/>
              <w:t>以民生百货为代表的百货业务将以“突破·品质·追赶”为管理发展目标，紧扣零售本质，积极寻求业务的新一轮创新和突破，广泛应用大数据，支撑对消费者和商户的综合性服务，提升会员数量和质量；以公司品牌在区域的影响力，拓展轻资产运营项目；强化提升运营品质，打造智能化、现代化、人性化的专业卖场，改善乃至引导消费者的生活和消费习惯；进一步优化管理流程，完善人才梯队建设，通过业务、项目、会员、商品、人才的全方位打造，进一步提升公司运营品质和品牌影响力，为打造百年品牌奠定基础。</w:t>
            </w:r>
          </w:p>
          <w:p w:rsidR="00BA067A" w:rsidRPr="00BA067A" w:rsidRDefault="00BA067A" w:rsidP="00BA067A">
            <w:pPr>
              <w:ind w:firstLineChars="200" w:firstLine="482"/>
              <w:rPr>
                <w:rFonts w:ascii="宋体" w:hAnsi="宋体"/>
                <w:b/>
                <w:sz w:val="24"/>
              </w:rPr>
            </w:pPr>
            <w:r w:rsidRPr="00BA067A">
              <w:rPr>
                <w:rFonts w:ascii="宋体" w:hAnsi="宋体" w:hint="eastAsia"/>
                <w:b/>
                <w:sz w:val="24"/>
              </w:rPr>
              <w:t>四、介绍公司发行股份购买资产情况</w:t>
            </w:r>
          </w:p>
          <w:p w:rsidR="00BA067A" w:rsidRDefault="00BA067A" w:rsidP="007F1E2A">
            <w:pPr>
              <w:ind w:firstLineChars="200" w:firstLine="480"/>
              <w:rPr>
                <w:rFonts w:ascii="宋体" w:hAnsi="宋体"/>
                <w:sz w:val="24"/>
              </w:rPr>
            </w:pPr>
            <w:r w:rsidRPr="00BA067A">
              <w:rPr>
                <w:rFonts w:ascii="宋体" w:hAnsi="宋体" w:hint="eastAsia"/>
                <w:sz w:val="24"/>
              </w:rPr>
              <w:t>公司拟以发行股份的方式向</w:t>
            </w:r>
            <w:r w:rsidR="007F1E2A" w:rsidRPr="007F1E2A">
              <w:rPr>
                <w:rFonts w:ascii="宋体" w:hAnsi="宋体" w:hint="eastAsia"/>
                <w:sz w:val="24"/>
              </w:rPr>
              <w:t>远成集团重庆物流有限公司、宿迁京东奥盛企业管理有限公司、西安华鼎供应链管理有限公司</w:t>
            </w:r>
            <w:r w:rsidRPr="00BA067A">
              <w:rPr>
                <w:rFonts w:ascii="宋体" w:hAnsi="宋体" w:hint="eastAsia"/>
                <w:sz w:val="24"/>
              </w:rPr>
              <w:t>购买其合计持有的</w:t>
            </w:r>
            <w:r w:rsidR="007F1E2A" w:rsidRPr="007F1E2A">
              <w:rPr>
                <w:rFonts w:ascii="宋体" w:hAnsi="宋体" w:hint="eastAsia"/>
                <w:sz w:val="24"/>
              </w:rPr>
              <w:t>四川远成物流发展有限公司</w:t>
            </w:r>
            <w:bookmarkStart w:id="0" w:name="_GoBack"/>
            <w:bookmarkEnd w:id="0"/>
            <w:r w:rsidR="007F1E2A" w:rsidRPr="007F1E2A">
              <w:rPr>
                <w:rFonts w:ascii="宋体" w:hAnsi="宋体" w:hint="eastAsia"/>
                <w:sz w:val="24"/>
              </w:rPr>
              <w:t>70%的股权</w:t>
            </w:r>
            <w:r w:rsidRPr="00BA067A">
              <w:rPr>
                <w:rFonts w:ascii="宋体" w:hAnsi="宋体" w:hint="eastAsia"/>
                <w:sz w:val="24"/>
              </w:rPr>
              <w:t>。</w:t>
            </w:r>
          </w:p>
          <w:p w:rsidR="005D46E1" w:rsidRDefault="00BA067A" w:rsidP="005D46E1">
            <w:pPr>
              <w:ind w:firstLineChars="200" w:firstLine="480"/>
              <w:rPr>
                <w:rFonts w:ascii="宋体" w:hAnsi="宋体"/>
                <w:sz w:val="24"/>
              </w:rPr>
            </w:pPr>
            <w:r w:rsidRPr="00BA067A">
              <w:rPr>
                <w:rFonts w:ascii="宋体" w:hAnsi="宋体"/>
                <w:sz w:val="24"/>
              </w:rPr>
              <w:t>本次交易上市公司通过</w:t>
            </w:r>
            <w:proofErr w:type="gramStart"/>
            <w:r w:rsidRPr="00BA067A">
              <w:rPr>
                <w:rFonts w:ascii="宋体" w:hAnsi="宋体"/>
                <w:sz w:val="24"/>
              </w:rPr>
              <w:t>收购远成物流</w:t>
            </w:r>
            <w:proofErr w:type="gramEnd"/>
            <w:r w:rsidRPr="00BA067A">
              <w:rPr>
                <w:rFonts w:ascii="宋体" w:hAnsi="宋体"/>
                <w:sz w:val="24"/>
              </w:rPr>
              <w:t>控股权，将有助于供销大集进一步完善商品流通服务中物流网的布局，形成覆盖全国的“仓干配”、智慧物流为核心的物流服务网络。通过本次交易，在原有业务的基础上，供销大集将逐步建立现代化的、高效的“天地一体物流网”，提升商品流通效率，降低流通成本，助力商品流通产业全面升级。交易完成后，上市公司将立足“天地一体物流网”和“线</w:t>
            </w:r>
            <w:r w:rsidR="007F1E2A" w:rsidRPr="007F1E2A">
              <w:rPr>
                <w:rFonts w:ascii="宋体" w:hAnsi="宋体" w:hint="eastAsia"/>
                <w:sz w:val="24"/>
              </w:rPr>
              <w:t>上线下商品网”，全面实现商品流、资金流、信息流、物流的四流合一，围绕产业全链条构建需求驱动的全球智慧供应链，实现全链条的价值创造，继续将上市公司打造成为“一带一路”城乡商品综合流通服务运营商，为上市公司全体股东创造价值。</w:t>
            </w:r>
          </w:p>
          <w:p w:rsidR="00871E1B" w:rsidRDefault="00871E1B" w:rsidP="005D46E1">
            <w:pPr>
              <w:ind w:firstLineChars="200" w:firstLine="482"/>
              <w:rPr>
                <w:rFonts w:ascii="宋体" w:hAnsi="宋体"/>
                <w:b/>
                <w:sz w:val="24"/>
              </w:rPr>
            </w:pPr>
            <w:r w:rsidRPr="00871E1B">
              <w:rPr>
                <w:rFonts w:ascii="宋体" w:hAnsi="宋体" w:hint="eastAsia"/>
                <w:b/>
                <w:sz w:val="24"/>
              </w:rPr>
              <w:t>五</w:t>
            </w:r>
            <w:r>
              <w:rPr>
                <w:rFonts w:ascii="宋体" w:hAnsi="宋体" w:hint="eastAsia"/>
                <w:b/>
                <w:sz w:val="24"/>
              </w:rPr>
              <w:t>、介绍公司拟</w:t>
            </w:r>
            <w:r w:rsidRPr="00871E1B">
              <w:rPr>
                <w:rFonts w:ascii="宋体" w:hAnsi="宋体" w:hint="eastAsia"/>
                <w:b/>
                <w:sz w:val="24"/>
              </w:rPr>
              <w:t>收购海航货运有限公司100%股权</w:t>
            </w:r>
            <w:r>
              <w:rPr>
                <w:rFonts w:ascii="宋体" w:hAnsi="宋体" w:hint="eastAsia"/>
                <w:b/>
                <w:sz w:val="24"/>
              </w:rPr>
              <w:t>情况</w:t>
            </w:r>
          </w:p>
          <w:p w:rsidR="00100A5E" w:rsidRDefault="00871E1B" w:rsidP="00100A5E">
            <w:pPr>
              <w:ind w:firstLineChars="200" w:firstLine="480"/>
              <w:rPr>
                <w:rFonts w:ascii="宋体" w:hAnsi="宋体"/>
                <w:sz w:val="24"/>
              </w:rPr>
            </w:pPr>
            <w:r w:rsidRPr="00871E1B">
              <w:rPr>
                <w:rFonts w:ascii="宋体" w:hAnsi="宋体" w:hint="eastAsia"/>
                <w:sz w:val="24"/>
              </w:rPr>
              <w:t>公司全资控股子公司海南供销大集控股有限公司与扬子江航空货运控股有限责任公司、神行速运有限公司签订股权转让框架协议，购买海航货运有限公司100%股权，交易价格预计不超过</w:t>
            </w:r>
            <w:r>
              <w:rPr>
                <w:rFonts w:ascii="宋体" w:hAnsi="宋体" w:hint="eastAsia"/>
                <w:sz w:val="24"/>
              </w:rPr>
              <w:t>15</w:t>
            </w:r>
            <w:r w:rsidRPr="00871E1B">
              <w:rPr>
                <w:rFonts w:ascii="宋体" w:hAnsi="宋体" w:hint="eastAsia"/>
                <w:sz w:val="24"/>
              </w:rPr>
              <w:t>亿元，最终交易价格将依据评估值确定。</w:t>
            </w:r>
          </w:p>
          <w:p w:rsidR="00F1496A" w:rsidRPr="00F1496A" w:rsidRDefault="00100A5E" w:rsidP="00444EB4">
            <w:pPr>
              <w:ind w:firstLineChars="200" w:firstLine="480"/>
              <w:rPr>
                <w:rFonts w:ascii="宋体" w:hAnsi="宋体"/>
                <w:sz w:val="24"/>
              </w:rPr>
            </w:pPr>
            <w:r w:rsidRPr="00100A5E">
              <w:rPr>
                <w:rFonts w:ascii="宋体" w:hAnsi="宋体" w:hint="eastAsia"/>
                <w:sz w:val="24"/>
              </w:rPr>
              <w:t>作为拟进入供销大集体系的企业成员之一，海航货运有限公司拥有</w:t>
            </w:r>
            <w:r>
              <w:rPr>
                <w:rFonts w:ascii="宋体" w:hAnsi="宋体" w:hint="eastAsia"/>
                <w:sz w:val="24"/>
              </w:rPr>
              <w:t>700</w:t>
            </w:r>
            <w:r w:rsidRPr="00100A5E">
              <w:rPr>
                <w:rFonts w:ascii="宋体" w:hAnsi="宋体" w:hint="eastAsia"/>
                <w:sz w:val="24"/>
              </w:rPr>
              <w:t>余架客机</w:t>
            </w:r>
            <w:proofErr w:type="gramStart"/>
            <w:r w:rsidRPr="00100A5E">
              <w:rPr>
                <w:rFonts w:ascii="宋体" w:hAnsi="宋体" w:hint="eastAsia"/>
                <w:sz w:val="24"/>
              </w:rPr>
              <w:t>的腹舱运力</w:t>
            </w:r>
            <w:proofErr w:type="gramEnd"/>
            <w:r w:rsidRPr="00100A5E">
              <w:rPr>
                <w:rFonts w:ascii="宋体" w:hAnsi="宋体" w:hint="eastAsia"/>
                <w:sz w:val="24"/>
              </w:rPr>
              <w:t>、拥有</w:t>
            </w:r>
            <w:r>
              <w:rPr>
                <w:rFonts w:ascii="宋体" w:hAnsi="宋体" w:hint="eastAsia"/>
                <w:sz w:val="24"/>
              </w:rPr>
              <w:t>700</w:t>
            </w:r>
            <w:r w:rsidRPr="00100A5E">
              <w:rPr>
                <w:rFonts w:ascii="宋体" w:hAnsi="宋体" w:hint="eastAsia"/>
                <w:sz w:val="24"/>
              </w:rPr>
              <w:t>多条遍布全球航线网络，通达</w:t>
            </w:r>
            <w:r>
              <w:rPr>
                <w:rFonts w:ascii="宋体" w:hAnsi="宋体" w:hint="eastAsia"/>
                <w:sz w:val="24"/>
              </w:rPr>
              <w:t>200</w:t>
            </w:r>
            <w:r w:rsidRPr="00100A5E">
              <w:rPr>
                <w:rFonts w:ascii="宋体" w:hAnsi="宋体" w:hint="eastAsia"/>
                <w:sz w:val="24"/>
              </w:rPr>
              <w:t>多个国内外城市，在我国</w:t>
            </w:r>
            <w:r>
              <w:rPr>
                <w:rFonts w:ascii="宋体" w:hAnsi="宋体" w:hint="eastAsia"/>
                <w:sz w:val="24"/>
              </w:rPr>
              <w:t>30</w:t>
            </w:r>
            <w:r w:rsidRPr="00100A5E">
              <w:rPr>
                <w:rFonts w:ascii="宋体" w:hAnsi="宋体" w:hint="eastAsia"/>
                <w:sz w:val="24"/>
              </w:rPr>
              <w:t>多个城市设有分公司或货运处，拥有全方位服务的货物集散、储运、配送中心，年货</w:t>
            </w:r>
            <w:proofErr w:type="gramStart"/>
            <w:r w:rsidRPr="00100A5E">
              <w:rPr>
                <w:rFonts w:ascii="宋体" w:hAnsi="宋体" w:hint="eastAsia"/>
                <w:sz w:val="24"/>
              </w:rPr>
              <w:t>邮</w:t>
            </w:r>
            <w:proofErr w:type="gramEnd"/>
            <w:r w:rsidRPr="00100A5E">
              <w:rPr>
                <w:rFonts w:ascii="宋体" w:hAnsi="宋体" w:hint="eastAsia"/>
                <w:sz w:val="24"/>
              </w:rPr>
              <w:t>运输量达</w:t>
            </w:r>
            <w:r>
              <w:rPr>
                <w:rFonts w:ascii="宋体" w:hAnsi="宋体" w:hint="eastAsia"/>
                <w:sz w:val="24"/>
              </w:rPr>
              <w:t>70</w:t>
            </w:r>
            <w:r w:rsidRPr="00100A5E">
              <w:rPr>
                <w:rFonts w:ascii="宋体" w:hAnsi="宋体" w:hint="eastAsia"/>
                <w:sz w:val="24"/>
              </w:rPr>
              <w:t>余万吨。</w:t>
            </w:r>
            <w:r w:rsidR="00444EB4">
              <w:rPr>
                <w:rFonts w:ascii="宋体" w:hAnsi="宋体" w:hint="eastAsia"/>
                <w:sz w:val="24"/>
              </w:rPr>
              <w:t>本次交易将</w:t>
            </w:r>
            <w:r w:rsidR="00444EB4" w:rsidRPr="00444EB4">
              <w:rPr>
                <w:rFonts w:ascii="宋体" w:hAnsi="宋体" w:hint="eastAsia"/>
                <w:sz w:val="24"/>
              </w:rPr>
              <w:t>整合海航货运物流资源，实现协同效应，海航货运将成为供销大集物流体系之天空布局的重要组成部分。</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lastRenderedPageBreak/>
              <w:t>附件清单</w:t>
            </w:r>
          </w:p>
        </w:tc>
        <w:tc>
          <w:tcPr>
            <w:tcW w:w="6814" w:type="dxa"/>
            <w:tcBorders>
              <w:top w:val="single" w:sz="4" w:space="0" w:color="auto"/>
              <w:left w:val="single" w:sz="4" w:space="0" w:color="auto"/>
              <w:bottom w:val="single" w:sz="4" w:space="0" w:color="auto"/>
              <w:right w:val="single" w:sz="4" w:space="0" w:color="auto"/>
            </w:tcBorders>
          </w:tcPr>
          <w:p w:rsidR="0000297D" w:rsidRPr="00347040" w:rsidRDefault="00AA354C" w:rsidP="005C1B17">
            <w:pPr>
              <w:spacing w:line="480" w:lineRule="atLeast"/>
              <w:rPr>
                <w:rFonts w:ascii="宋体" w:hAnsi="宋体"/>
                <w:bCs/>
                <w:iCs/>
                <w:color w:val="000000"/>
                <w:sz w:val="24"/>
                <w:szCs w:val="24"/>
              </w:rPr>
            </w:pPr>
            <w:r>
              <w:rPr>
                <w:rFonts w:ascii="宋体" w:hAnsi="宋体"/>
                <w:bCs/>
                <w:iCs/>
                <w:color w:val="000000"/>
                <w:sz w:val="24"/>
                <w:szCs w:val="24"/>
              </w:rPr>
              <w:t>无</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日期</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0528F5" w:rsidP="00DE116C">
            <w:pPr>
              <w:spacing w:line="480" w:lineRule="atLeast"/>
              <w:rPr>
                <w:rFonts w:ascii="宋体" w:hAnsi="宋体"/>
                <w:bCs/>
                <w:iCs/>
                <w:color w:val="000000"/>
                <w:sz w:val="24"/>
                <w:szCs w:val="24"/>
              </w:rPr>
            </w:pPr>
            <w:r>
              <w:rPr>
                <w:rFonts w:ascii="Arial" w:hAnsi="Arial" w:cs="Arial"/>
                <w:color w:val="333333"/>
                <w:sz w:val="24"/>
                <w:szCs w:val="24"/>
              </w:rPr>
              <w:t>2018</w:t>
            </w:r>
            <w:r w:rsidR="00665564" w:rsidRPr="00665564">
              <w:rPr>
                <w:rFonts w:ascii="Arial" w:hAnsi="Arial" w:cs="Arial" w:hint="eastAsia"/>
                <w:color w:val="333333"/>
                <w:sz w:val="24"/>
                <w:szCs w:val="24"/>
              </w:rPr>
              <w:t>年</w:t>
            </w:r>
            <w:r>
              <w:rPr>
                <w:rFonts w:ascii="Arial" w:hAnsi="Arial" w:cs="Arial"/>
                <w:color w:val="333333"/>
                <w:sz w:val="24"/>
                <w:szCs w:val="24"/>
              </w:rPr>
              <w:t>6</w:t>
            </w:r>
            <w:r w:rsidR="00665564" w:rsidRPr="00665564">
              <w:rPr>
                <w:rFonts w:ascii="Arial" w:hAnsi="Arial" w:cs="Arial" w:hint="eastAsia"/>
                <w:color w:val="333333"/>
                <w:sz w:val="24"/>
                <w:szCs w:val="24"/>
              </w:rPr>
              <w:t>月</w:t>
            </w:r>
            <w:r w:rsidR="00DE116C">
              <w:rPr>
                <w:rFonts w:ascii="Arial" w:hAnsi="Arial" w:cs="Arial"/>
                <w:color w:val="333333"/>
                <w:sz w:val="24"/>
                <w:szCs w:val="24"/>
              </w:rPr>
              <w:t>6</w:t>
            </w:r>
            <w:r w:rsidR="00C97CCD" w:rsidRPr="00665564">
              <w:rPr>
                <w:rFonts w:ascii="Arial" w:hAnsi="Arial" w:cs="Arial" w:hint="eastAsia"/>
                <w:color w:val="333333"/>
                <w:sz w:val="24"/>
                <w:szCs w:val="24"/>
              </w:rPr>
              <w:t>日</w:t>
            </w:r>
          </w:p>
        </w:tc>
      </w:tr>
    </w:tbl>
    <w:p w:rsidR="00B80669" w:rsidRDefault="00B80669" w:rsidP="000D06CD"/>
    <w:sectPr w:rsidR="00B80669" w:rsidSect="0000297D">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1E" w:rsidRDefault="0088081E" w:rsidP="00B80669">
      <w:r>
        <w:separator/>
      </w:r>
    </w:p>
  </w:endnote>
  <w:endnote w:type="continuationSeparator" w:id="0">
    <w:p w:rsidR="0088081E" w:rsidRDefault="0088081E" w:rsidP="00B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1E" w:rsidRDefault="0088081E" w:rsidP="00B80669">
      <w:r>
        <w:separator/>
      </w:r>
    </w:p>
  </w:footnote>
  <w:footnote w:type="continuationSeparator" w:id="0">
    <w:p w:rsidR="0088081E" w:rsidRDefault="0088081E" w:rsidP="00B8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69"/>
    <w:rsid w:val="00000718"/>
    <w:rsid w:val="0000297D"/>
    <w:rsid w:val="000054B3"/>
    <w:rsid w:val="00007EA9"/>
    <w:rsid w:val="000413F4"/>
    <w:rsid w:val="00046F5F"/>
    <w:rsid w:val="000528F5"/>
    <w:rsid w:val="000645B4"/>
    <w:rsid w:val="000768F2"/>
    <w:rsid w:val="000947F8"/>
    <w:rsid w:val="000962AC"/>
    <w:rsid w:val="000D06CD"/>
    <w:rsid w:val="000D2499"/>
    <w:rsid w:val="000E6F1A"/>
    <w:rsid w:val="000F7E5D"/>
    <w:rsid w:val="00100382"/>
    <w:rsid w:val="00100A5E"/>
    <w:rsid w:val="0010373E"/>
    <w:rsid w:val="00106204"/>
    <w:rsid w:val="0011151A"/>
    <w:rsid w:val="00136389"/>
    <w:rsid w:val="00171C69"/>
    <w:rsid w:val="00174A31"/>
    <w:rsid w:val="00184CC3"/>
    <w:rsid w:val="00196804"/>
    <w:rsid w:val="001C01D7"/>
    <w:rsid w:val="001C3918"/>
    <w:rsid w:val="001D154C"/>
    <w:rsid w:val="001D1E94"/>
    <w:rsid w:val="001F200C"/>
    <w:rsid w:val="001F3243"/>
    <w:rsid w:val="0020229F"/>
    <w:rsid w:val="002135DC"/>
    <w:rsid w:val="00216447"/>
    <w:rsid w:val="00226645"/>
    <w:rsid w:val="00232469"/>
    <w:rsid w:val="00257F38"/>
    <w:rsid w:val="00266219"/>
    <w:rsid w:val="00267CD1"/>
    <w:rsid w:val="00272E65"/>
    <w:rsid w:val="00280B21"/>
    <w:rsid w:val="00287F11"/>
    <w:rsid w:val="002E3765"/>
    <w:rsid w:val="002F0705"/>
    <w:rsid w:val="00313495"/>
    <w:rsid w:val="003166BF"/>
    <w:rsid w:val="00344C78"/>
    <w:rsid w:val="00347040"/>
    <w:rsid w:val="003473FF"/>
    <w:rsid w:val="00351F24"/>
    <w:rsid w:val="003657F7"/>
    <w:rsid w:val="00377E81"/>
    <w:rsid w:val="00383DE0"/>
    <w:rsid w:val="00386060"/>
    <w:rsid w:val="00392A9D"/>
    <w:rsid w:val="00397F50"/>
    <w:rsid w:val="003B68A5"/>
    <w:rsid w:val="003B69CB"/>
    <w:rsid w:val="003F4B25"/>
    <w:rsid w:val="00410A1C"/>
    <w:rsid w:val="00414241"/>
    <w:rsid w:val="00426558"/>
    <w:rsid w:val="00427278"/>
    <w:rsid w:val="004427F3"/>
    <w:rsid w:val="00444EB4"/>
    <w:rsid w:val="00446B86"/>
    <w:rsid w:val="00493B85"/>
    <w:rsid w:val="004964AB"/>
    <w:rsid w:val="004B0207"/>
    <w:rsid w:val="004C2999"/>
    <w:rsid w:val="004D1169"/>
    <w:rsid w:val="004F641A"/>
    <w:rsid w:val="00502286"/>
    <w:rsid w:val="00512BF5"/>
    <w:rsid w:val="0052416E"/>
    <w:rsid w:val="00527B76"/>
    <w:rsid w:val="00534DEB"/>
    <w:rsid w:val="0054392F"/>
    <w:rsid w:val="00556F05"/>
    <w:rsid w:val="005615E7"/>
    <w:rsid w:val="005629E4"/>
    <w:rsid w:val="00565995"/>
    <w:rsid w:val="00566E00"/>
    <w:rsid w:val="0057543F"/>
    <w:rsid w:val="0058507E"/>
    <w:rsid w:val="00586BD9"/>
    <w:rsid w:val="005913BF"/>
    <w:rsid w:val="005921A5"/>
    <w:rsid w:val="005A24B3"/>
    <w:rsid w:val="005A4E0D"/>
    <w:rsid w:val="005B63DF"/>
    <w:rsid w:val="005C1B17"/>
    <w:rsid w:val="005D46E1"/>
    <w:rsid w:val="005D7C40"/>
    <w:rsid w:val="005E0815"/>
    <w:rsid w:val="005E0BCA"/>
    <w:rsid w:val="005F486C"/>
    <w:rsid w:val="006209FE"/>
    <w:rsid w:val="00624175"/>
    <w:rsid w:val="00624983"/>
    <w:rsid w:val="006276FB"/>
    <w:rsid w:val="006318AD"/>
    <w:rsid w:val="0063347A"/>
    <w:rsid w:val="00646DD8"/>
    <w:rsid w:val="00653C1E"/>
    <w:rsid w:val="00655E25"/>
    <w:rsid w:val="00665564"/>
    <w:rsid w:val="0068108F"/>
    <w:rsid w:val="00691A52"/>
    <w:rsid w:val="0069256D"/>
    <w:rsid w:val="00695F75"/>
    <w:rsid w:val="006A2732"/>
    <w:rsid w:val="006A5A92"/>
    <w:rsid w:val="006C3514"/>
    <w:rsid w:val="006E2D84"/>
    <w:rsid w:val="006E6CD0"/>
    <w:rsid w:val="006F1D42"/>
    <w:rsid w:val="00701CB4"/>
    <w:rsid w:val="00712DF6"/>
    <w:rsid w:val="00721A5C"/>
    <w:rsid w:val="00724C43"/>
    <w:rsid w:val="007271C4"/>
    <w:rsid w:val="00732BF1"/>
    <w:rsid w:val="00737CA2"/>
    <w:rsid w:val="007412FE"/>
    <w:rsid w:val="007858C3"/>
    <w:rsid w:val="007A0A77"/>
    <w:rsid w:val="007D04B7"/>
    <w:rsid w:val="007D2DE6"/>
    <w:rsid w:val="007E506B"/>
    <w:rsid w:val="007F1E2A"/>
    <w:rsid w:val="007F4543"/>
    <w:rsid w:val="007F7827"/>
    <w:rsid w:val="00806EA2"/>
    <w:rsid w:val="00841BBE"/>
    <w:rsid w:val="00847A9F"/>
    <w:rsid w:val="00847D49"/>
    <w:rsid w:val="00866893"/>
    <w:rsid w:val="00870FD9"/>
    <w:rsid w:val="00871E1B"/>
    <w:rsid w:val="0087278F"/>
    <w:rsid w:val="0088081E"/>
    <w:rsid w:val="008842A6"/>
    <w:rsid w:val="008A7930"/>
    <w:rsid w:val="008C5ABD"/>
    <w:rsid w:val="008D0EF9"/>
    <w:rsid w:val="008D4B3C"/>
    <w:rsid w:val="008D609B"/>
    <w:rsid w:val="008F0C1B"/>
    <w:rsid w:val="008F4566"/>
    <w:rsid w:val="00911252"/>
    <w:rsid w:val="009334B5"/>
    <w:rsid w:val="0098245A"/>
    <w:rsid w:val="009864AF"/>
    <w:rsid w:val="009920CC"/>
    <w:rsid w:val="009B0693"/>
    <w:rsid w:val="009C1F1A"/>
    <w:rsid w:val="009C5531"/>
    <w:rsid w:val="009D412C"/>
    <w:rsid w:val="009F7AE6"/>
    <w:rsid w:val="00A0777E"/>
    <w:rsid w:val="00A10446"/>
    <w:rsid w:val="00A12C36"/>
    <w:rsid w:val="00A16144"/>
    <w:rsid w:val="00A33F62"/>
    <w:rsid w:val="00A4484A"/>
    <w:rsid w:val="00A5411B"/>
    <w:rsid w:val="00A5754D"/>
    <w:rsid w:val="00A65084"/>
    <w:rsid w:val="00A71D76"/>
    <w:rsid w:val="00A85657"/>
    <w:rsid w:val="00A90120"/>
    <w:rsid w:val="00A90D14"/>
    <w:rsid w:val="00A90F93"/>
    <w:rsid w:val="00AA354C"/>
    <w:rsid w:val="00AC12AD"/>
    <w:rsid w:val="00AC6981"/>
    <w:rsid w:val="00AD2971"/>
    <w:rsid w:val="00AF246C"/>
    <w:rsid w:val="00AF4088"/>
    <w:rsid w:val="00AF5903"/>
    <w:rsid w:val="00B009F8"/>
    <w:rsid w:val="00B14823"/>
    <w:rsid w:val="00B23544"/>
    <w:rsid w:val="00B23AAF"/>
    <w:rsid w:val="00B363E6"/>
    <w:rsid w:val="00B60430"/>
    <w:rsid w:val="00B80669"/>
    <w:rsid w:val="00B83FE4"/>
    <w:rsid w:val="00B87488"/>
    <w:rsid w:val="00BA067A"/>
    <w:rsid w:val="00BC14B6"/>
    <w:rsid w:val="00BC48EB"/>
    <w:rsid w:val="00BD4547"/>
    <w:rsid w:val="00BD48FB"/>
    <w:rsid w:val="00BF1258"/>
    <w:rsid w:val="00C10420"/>
    <w:rsid w:val="00C201BE"/>
    <w:rsid w:val="00C61F90"/>
    <w:rsid w:val="00C87E86"/>
    <w:rsid w:val="00C97CCD"/>
    <w:rsid w:val="00CA3417"/>
    <w:rsid w:val="00CC1F24"/>
    <w:rsid w:val="00CC4011"/>
    <w:rsid w:val="00CD05F0"/>
    <w:rsid w:val="00CE0E20"/>
    <w:rsid w:val="00CE2D95"/>
    <w:rsid w:val="00D07625"/>
    <w:rsid w:val="00D1239B"/>
    <w:rsid w:val="00D648F3"/>
    <w:rsid w:val="00D74FAF"/>
    <w:rsid w:val="00DA05FA"/>
    <w:rsid w:val="00DD5DC7"/>
    <w:rsid w:val="00DD783F"/>
    <w:rsid w:val="00DE116C"/>
    <w:rsid w:val="00E26E48"/>
    <w:rsid w:val="00E42CEE"/>
    <w:rsid w:val="00E436FA"/>
    <w:rsid w:val="00E45606"/>
    <w:rsid w:val="00E57F4B"/>
    <w:rsid w:val="00E669E9"/>
    <w:rsid w:val="00E92A20"/>
    <w:rsid w:val="00EB1559"/>
    <w:rsid w:val="00F1496A"/>
    <w:rsid w:val="00F2195E"/>
    <w:rsid w:val="00F43BDD"/>
    <w:rsid w:val="00F565A1"/>
    <w:rsid w:val="00F93F7F"/>
    <w:rsid w:val="00F9420A"/>
    <w:rsid w:val="00FA1221"/>
    <w:rsid w:val="00FC0619"/>
    <w:rsid w:val="00FC1822"/>
    <w:rsid w:val="00FF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669"/>
    <w:rPr>
      <w:sz w:val="18"/>
      <w:szCs w:val="18"/>
    </w:rPr>
  </w:style>
  <w:style w:type="paragraph" w:styleId="a4">
    <w:name w:val="footer"/>
    <w:basedOn w:val="a"/>
    <w:link w:val="Char0"/>
    <w:uiPriority w:val="99"/>
    <w:unhideWhenUsed/>
    <w:rsid w:val="00B80669"/>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69"/>
    <w:rPr>
      <w:sz w:val="18"/>
      <w:szCs w:val="18"/>
    </w:rPr>
  </w:style>
  <w:style w:type="table" w:styleId="a5">
    <w:name w:val="Table Grid"/>
    <w:basedOn w:val="a1"/>
    <w:rsid w:val="00B8066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aliases w:val="正文文字缩进"/>
    <w:basedOn w:val="a"/>
    <w:link w:val="Char1"/>
    <w:rsid w:val="00BC14B6"/>
    <w:pPr>
      <w:spacing w:after="120"/>
      <w:ind w:leftChars="200" w:left="200"/>
    </w:pPr>
    <w:rPr>
      <w:rFonts w:ascii="Times New Roman" w:eastAsia="宋体" w:hAnsi="Times New Roman" w:cs="Times New Roman"/>
      <w:szCs w:val="20"/>
    </w:rPr>
  </w:style>
  <w:style w:type="character" w:customStyle="1" w:styleId="Char1">
    <w:name w:val="正文文本缩进 Char"/>
    <w:aliases w:val="正文文字缩进 Char"/>
    <w:basedOn w:val="a0"/>
    <w:link w:val="a6"/>
    <w:rsid w:val="00BC14B6"/>
    <w:rPr>
      <w:rFonts w:ascii="Times New Roman" w:eastAsia="宋体" w:hAnsi="Times New Roman" w:cs="Times New Roman"/>
      <w:szCs w:val="20"/>
    </w:rPr>
  </w:style>
  <w:style w:type="paragraph" w:styleId="a7">
    <w:name w:val="Balloon Text"/>
    <w:basedOn w:val="a"/>
    <w:link w:val="Char2"/>
    <w:uiPriority w:val="99"/>
    <w:semiHidden/>
    <w:unhideWhenUsed/>
    <w:rsid w:val="00CC1F24"/>
    <w:rPr>
      <w:sz w:val="18"/>
      <w:szCs w:val="18"/>
    </w:rPr>
  </w:style>
  <w:style w:type="character" w:customStyle="1" w:styleId="Char2">
    <w:name w:val="批注框文本 Char"/>
    <w:basedOn w:val="a0"/>
    <w:link w:val="a7"/>
    <w:uiPriority w:val="99"/>
    <w:semiHidden/>
    <w:rsid w:val="00CC1F24"/>
    <w:rPr>
      <w:sz w:val="18"/>
      <w:szCs w:val="18"/>
    </w:rPr>
  </w:style>
  <w:style w:type="character" w:styleId="a8">
    <w:name w:val="annotation reference"/>
    <w:basedOn w:val="a0"/>
    <w:uiPriority w:val="99"/>
    <w:semiHidden/>
    <w:unhideWhenUsed/>
    <w:rsid w:val="005D7C40"/>
    <w:rPr>
      <w:sz w:val="21"/>
      <w:szCs w:val="21"/>
    </w:rPr>
  </w:style>
  <w:style w:type="paragraph" w:styleId="a9">
    <w:name w:val="annotation text"/>
    <w:basedOn w:val="a"/>
    <w:link w:val="Char3"/>
    <w:uiPriority w:val="99"/>
    <w:semiHidden/>
    <w:unhideWhenUsed/>
    <w:rsid w:val="005D7C40"/>
    <w:pPr>
      <w:jc w:val="left"/>
    </w:pPr>
  </w:style>
  <w:style w:type="character" w:customStyle="1" w:styleId="Char3">
    <w:name w:val="批注文字 Char"/>
    <w:basedOn w:val="a0"/>
    <w:link w:val="a9"/>
    <w:uiPriority w:val="99"/>
    <w:semiHidden/>
    <w:rsid w:val="005D7C40"/>
  </w:style>
  <w:style w:type="paragraph" w:styleId="aa">
    <w:name w:val="annotation subject"/>
    <w:basedOn w:val="a9"/>
    <w:next w:val="a9"/>
    <w:link w:val="Char4"/>
    <w:uiPriority w:val="99"/>
    <w:semiHidden/>
    <w:unhideWhenUsed/>
    <w:rsid w:val="005D7C40"/>
    <w:rPr>
      <w:b/>
      <w:bCs/>
    </w:rPr>
  </w:style>
  <w:style w:type="character" w:customStyle="1" w:styleId="Char4">
    <w:name w:val="批注主题 Char"/>
    <w:basedOn w:val="Char3"/>
    <w:link w:val="aa"/>
    <w:uiPriority w:val="99"/>
    <w:semiHidden/>
    <w:rsid w:val="005D7C40"/>
    <w:rPr>
      <w:b/>
      <w:bCs/>
    </w:rPr>
  </w:style>
  <w:style w:type="paragraph" w:styleId="ab">
    <w:name w:val="List Paragraph"/>
    <w:basedOn w:val="a"/>
    <w:uiPriority w:val="34"/>
    <w:qFormat/>
    <w:rsid w:val="008842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669"/>
    <w:rPr>
      <w:sz w:val="18"/>
      <w:szCs w:val="18"/>
    </w:rPr>
  </w:style>
  <w:style w:type="paragraph" w:styleId="a4">
    <w:name w:val="footer"/>
    <w:basedOn w:val="a"/>
    <w:link w:val="Char0"/>
    <w:uiPriority w:val="99"/>
    <w:unhideWhenUsed/>
    <w:rsid w:val="00B80669"/>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69"/>
    <w:rPr>
      <w:sz w:val="18"/>
      <w:szCs w:val="18"/>
    </w:rPr>
  </w:style>
  <w:style w:type="table" w:styleId="a5">
    <w:name w:val="Table Grid"/>
    <w:basedOn w:val="a1"/>
    <w:rsid w:val="00B8066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aliases w:val="正文文字缩进"/>
    <w:basedOn w:val="a"/>
    <w:link w:val="Char1"/>
    <w:rsid w:val="00BC14B6"/>
    <w:pPr>
      <w:spacing w:after="120"/>
      <w:ind w:leftChars="200" w:left="200"/>
    </w:pPr>
    <w:rPr>
      <w:rFonts w:ascii="Times New Roman" w:eastAsia="宋体" w:hAnsi="Times New Roman" w:cs="Times New Roman"/>
      <w:szCs w:val="20"/>
    </w:rPr>
  </w:style>
  <w:style w:type="character" w:customStyle="1" w:styleId="Char1">
    <w:name w:val="正文文本缩进 Char"/>
    <w:aliases w:val="正文文字缩进 Char"/>
    <w:basedOn w:val="a0"/>
    <w:link w:val="a6"/>
    <w:rsid w:val="00BC14B6"/>
    <w:rPr>
      <w:rFonts w:ascii="Times New Roman" w:eastAsia="宋体" w:hAnsi="Times New Roman" w:cs="Times New Roman"/>
      <w:szCs w:val="20"/>
    </w:rPr>
  </w:style>
  <w:style w:type="paragraph" w:styleId="a7">
    <w:name w:val="Balloon Text"/>
    <w:basedOn w:val="a"/>
    <w:link w:val="Char2"/>
    <w:uiPriority w:val="99"/>
    <w:semiHidden/>
    <w:unhideWhenUsed/>
    <w:rsid w:val="00CC1F24"/>
    <w:rPr>
      <w:sz w:val="18"/>
      <w:szCs w:val="18"/>
    </w:rPr>
  </w:style>
  <w:style w:type="character" w:customStyle="1" w:styleId="Char2">
    <w:name w:val="批注框文本 Char"/>
    <w:basedOn w:val="a0"/>
    <w:link w:val="a7"/>
    <w:uiPriority w:val="99"/>
    <w:semiHidden/>
    <w:rsid w:val="00CC1F24"/>
    <w:rPr>
      <w:sz w:val="18"/>
      <w:szCs w:val="18"/>
    </w:rPr>
  </w:style>
  <w:style w:type="character" w:styleId="a8">
    <w:name w:val="annotation reference"/>
    <w:basedOn w:val="a0"/>
    <w:uiPriority w:val="99"/>
    <w:semiHidden/>
    <w:unhideWhenUsed/>
    <w:rsid w:val="005D7C40"/>
    <w:rPr>
      <w:sz w:val="21"/>
      <w:szCs w:val="21"/>
    </w:rPr>
  </w:style>
  <w:style w:type="paragraph" w:styleId="a9">
    <w:name w:val="annotation text"/>
    <w:basedOn w:val="a"/>
    <w:link w:val="Char3"/>
    <w:uiPriority w:val="99"/>
    <w:semiHidden/>
    <w:unhideWhenUsed/>
    <w:rsid w:val="005D7C40"/>
    <w:pPr>
      <w:jc w:val="left"/>
    </w:pPr>
  </w:style>
  <w:style w:type="character" w:customStyle="1" w:styleId="Char3">
    <w:name w:val="批注文字 Char"/>
    <w:basedOn w:val="a0"/>
    <w:link w:val="a9"/>
    <w:uiPriority w:val="99"/>
    <w:semiHidden/>
    <w:rsid w:val="005D7C40"/>
  </w:style>
  <w:style w:type="paragraph" w:styleId="aa">
    <w:name w:val="annotation subject"/>
    <w:basedOn w:val="a9"/>
    <w:next w:val="a9"/>
    <w:link w:val="Char4"/>
    <w:uiPriority w:val="99"/>
    <w:semiHidden/>
    <w:unhideWhenUsed/>
    <w:rsid w:val="005D7C40"/>
    <w:rPr>
      <w:b/>
      <w:bCs/>
    </w:rPr>
  </w:style>
  <w:style w:type="character" w:customStyle="1" w:styleId="Char4">
    <w:name w:val="批注主题 Char"/>
    <w:basedOn w:val="Char3"/>
    <w:link w:val="aa"/>
    <w:uiPriority w:val="99"/>
    <w:semiHidden/>
    <w:rsid w:val="005D7C40"/>
    <w:rPr>
      <w:b/>
      <w:bCs/>
    </w:rPr>
  </w:style>
  <w:style w:type="paragraph" w:styleId="ab">
    <w:name w:val="List Paragraph"/>
    <w:basedOn w:val="a"/>
    <w:uiPriority w:val="34"/>
    <w:qFormat/>
    <w:rsid w:val="008842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2242">
      <w:bodyDiv w:val="1"/>
      <w:marLeft w:val="0"/>
      <w:marRight w:val="0"/>
      <w:marTop w:val="0"/>
      <w:marBottom w:val="0"/>
      <w:divBdr>
        <w:top w:val="none" w:sz="0" w:space="0" w:color="auto"/>
        <w:left w:val="none" w:sz="0" w:space="0" w:color="auto"/>
        <w:bottom w:val="none" w:sz="0" w:space="0" w:color="auto"/>
        <w:right w:val="none" w:sz="0" w:space="0" w:color="auto"/>
      </w:divBdr>
    </w:div>
    <w:div w:id="14682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746</Words>
  <Characters>4253</Characters>
  <Application>Microsoft Office Word</Application>
  <DocSecurity>0</DocSecurity>
  <Lines>35</Lines>
  <Paragraphs>9</Paragraphs>
  <ScaleCrop>false</ScaleCrop>
  <Company>微软中国</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Luca</cp:lastModifiedBy>
  <cp:revision>55</cp:revision>
  <cp:lastPrinted>2014-10-15T01:12:00Z</cp:lastPrinted>
  <dcterms:created xsi:type="dcterms:W3CDTF">2018-06-01T03:27:00Z</dcterms:created>
  <dcterms:modified xsi:type="dcterms:W3CDTF">2018-06-06T08:10:00Z</dcterms:modified>
</cp:coreProperties>
</file>